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E886273" w14:textId="7F7C3A88" w:rsidR="00934A35" w:rsidRPr="00DF4366" w:rsidRDefault="00A801C0" w:rsidP="00934A35">
      <w:pPr>
        <w:pStyle w:val="Title"/>
      </w:pPr>
      <w:r>
        <w:t xml:space="preserve">2015 </w:t>
      </w:r>
      <w:r w:rsidR="007815A3">
        <w:t>NCFCA</w:t>
      </w:r>
      <w:r>
        <w:t xml:space="preserve"> BLUE BOOK – Case Summaries</w:t>
      </w:r>
    </w:p>
    <w:p w14:paraId="22DB72ED" w14:textId="77777777" w:rsidR="00E24CEC" w:rsidRDefault="00934A35">
      <w:pPr>
        <w:pStyle w:val="TOC2"/>
        <w:tabs>
          <w:tab w:val="left" w:pos="390"/>
        </w:tabs>
        <w:rPr>
          <w:rFonts w:asciiTheme="minorHAnsi" w:eastAsiaTheme="minorEastAsia" w:hAnsiTheme="minorHAnsi" w:cstheme="minorBidi"/>
          <w:noProof/>
          <w:sz w:val="24"/>
          <w:szCs w:val="24"/>
          <w:lang w:eastAsia="ja-JP"/>
        </w:rPr>
      </w:pPr>
      <w:r>
        <w:rPr>
          <w:b/>
          <w:sz w:val="22"/>
        </w:rPr>
        <w:fldChar w:fldCharType="begin"/>
      </w:r>
      <w:r>
        <w:instrText xml:space="preserve"> TOC \t "Contention 1,2,Contention 2,3,Title 2,1" </w:instrText>
      </w:r>
      <w:r>
        <w:rPr>
          <w:b/>
          <w:sz w:val="22"/>
        </w:rPr>
        <w:fldChar w:fldCharType="separate"/>
      </w:r>
      <w:bookmarkStart w:id="0" w:name="_GoBack"/>
      <w:bookmarkEnd w:id="0"/>
      <w:r w:rsidR="00E24CEC">
        <w:rPr>
          <w:noProof/>
        </w:rPr>
        <w:t>1.</w:t>
      </w:r>
      <w:r w:rsidR="00E24CEC">
        <w:rPr>
          <w:rFonts w:asciiTheme="minorHAnsi" w:eastAsiaTheme="minorEastAsia" w:hAnsiTheme="minorHAnsi" w:cstheme="minorBidi"/>
          <w:noProof/>
          <w:sz w:val="24"/>
          <w:szCs w:val="24"/>
          <w:lang w:eastAsia="ja-JP"/>
        </w:rPr>
        <w:tab/>
      </w:r>
      <w:r w:rsidR="00E24CEC">
        <w:rPr>
          <w:noProof/>
        </w:rPr>
        <w:t>Declaration of Independence:  The Case for Immigration Court Independence</w:t>
      </w:r>
      <w:r w:rsidR="00E24CEC">
        <w:rPr>
          <w:noProof/>
        </w:rPr>
        <w:tab/>
      </w:r>
      <w:r w:rsidR="00E24CEC">
        <w:rPr>
          <w:noProof/>
        </w:rPr>
        <w:fldChar w:fldCharType="begin"/>
      </w:r>
      <w:r w:rsidR="00E24CEC">
        <w:rPr>
          <w:noProof/>
        </w:rPr>
        <w:instrText xml:space="preserve"> PAGEREF _Toc306096309 \h </w:instrText>
      </w:r>
      <w:r w:rsidR="00E24CEC">
        <w:rPr>
          <w:noProof/>
        </w:rPr>
      </w:r>
      <w:r w:rsidR="00E24CEC">
        <w:rPr>
          <w:noProof/>
        </w:rPr>
        <w:fldChar w:fldCharType="separate"/>
      </w:r>
      <w:r w:rsidR="00E52773">
        <w:rPr>
          <w:noProof/>
        </w:rPr>
        <w:t>2</w:t>
      </w:r>
      <w:r w:rsidR="00E24CEC">
        <w:rPr>
          <w:noProof/>
        </w:rPr>
        <w:fldChar w:fldCharType="end"/>
      </w:r>
    </w:p>
    <w:p w14:paraId="57D4B487" w14:textId="77777777" w:rsidR="00E24CEC" w:rsidRDefault="00E24CEC">
      <w:pPr>
        <w:pStyle w:val="TOC2"/>
        <w:tabs>
          <w:tab w:val="left" w:pos="390"/>
        </w:tabs>
        <w:rPr>
          <w:rFonts w:asciiTheme="minorHAnsi" w:eastAsiaTheme="minorEastAsia" w:hAnsiTheme="minorHAnsi" w:cstheme="minorBidi"/>
          <w:noProof/>
          <w:sz w:val="24"/>
          <w:szCs w:val="24"/>
          <w:lang w:eastAsia="ja-JP"/>
        </w:rPr>
      </w:pPr>
      <w:r>
        <w:rPr>
          <w:noProof/>
        </w:rPr>
        <w:t>2.</w:t>
      </w:r>
      <w:r>
        <w:rPr>
          <w:rFonts w:asciiTheme="minorHAnsi" w:eastAsiaTheme="minorEastAsia" w:hAnsiTheme="minorHAnsi" w:cstheme="minorBidi"/>
          <w:noProof/>
          <w:sz w:val="24"/>
          <w:szCs w:val="24"/>
          <w:lang w:eastAsia="ja-JP"/>
        </w:rPr>
        <w:tab/>
      </w:r>
      <w:r>
        <w:rPr>
          <w:noProof/>
        </w:rPr>
        <w:t>Starry Night:  The Case for Abolishing the FISA Court</w:t>
      </w:r>
      <w:r>
        <w:rPr>
          <w:noProof/>
        </w:rPr>
        <w:tab/>
      </w:r>
      <w:r>
        <w:rPr>
          <w:noProof/>
        </w:rPr>
        <w:fldChar w:fldCharType="begin"/>
      </w:r>
      <w:r>
        <w:rPr>
          <w:noProof/>
        </w:rPr>
        <w:instrText xml:space="preserve"> PAGEREF _Toc306096310 \h </w:instrText>
      </w:r>
      <w:r>
        <w:rPr>
          <w:noProof/>
        </w:rPr>
      </w:r>
      <w:r>
        <w:rPr>
          <w:noProof/>
        </w:rPr>
        <w:fldChar w:fldCharType="separate"/>
      </w:r>
      <w:r w:rsidR="00E52773">
        <w:rPr>
          <w:noProof/>
        </w:rPr>
        <w:t>2</w:t>
      </w:r>
      <w:r>
        <w:rPr>
          <w:noProof/>
        </w:rPr>
        <w:fldChar w:fldCharType="end"/>
      </w:r>
    </w:p>
    <w:p w14:paraId="161E955C" w14:textId="77777777" w:rsidR="00E24CEC" w:rsidRDefault="00E24CEC">
      <w:pPr>
        <w:pStyle w:val="TOC2"/>
        <w:tabs>
          <w:tab w:val="left" w:pos="390"/>
        </w:tabs>
        <w:rPr>
          <w:rFonts w:asciiTheme="minorHAnsi" w:eastAsiaTheme="minorEastAsia" w:hAnsiTheme="minorHAnsi" w:cstheme="minorBidi"/>
          <w:noProof/>
          <w:sz w:val="24"/>
          <w:szCs w:val="24"/>
          <w:lang w:eastAsia="ja-JP"/>
        </w:rPr>
      </w:pPr>
      <w:r>
        <w:rPr>
          <w:noProof/>
        </w:rPr>
        <w:t>3.</w:t>
      </w:r>
      <w:r>
        <w:rPr>
          <w:rFonts w:asciiTheme="minorHAnsi" w:eastAsiaTheme="minorEastAsia" w:hAnsiTheme="minorHAnsi" w:cstheme="minorBidi"/>
          <w:noProof/>
          <w:sz w:val="24"/>
          <w:szCs w:val="24"/>
          <w:lang w:eastAsia="ja-JP"/>
        </w:rPr>
        <w:tab/>
      </w:r>
      <w:r>
        <w:rPr>
          <w:noProof/>
        </w:rPr>
        <w:t>Serious Reservations:  The Case for Indian Tribal Sovereignty</w:t>
      </w:r>
      <w:r>
        <w:rPr>
          <w:noProof/>
        </w:rPr>
        <w:tab/>
      </w:r>
      <w:r>
        <w:rPr>
          <w:noProof/>
        </w:rPr>
        <w:fldChar w:fldCharType="begin"/>
      </w:r>
      <w:r>
        <w:rPr>
          <w:noProof/>
        </w:rPr>
        <w:instrText xml:space="preserve"> PAGEREF _Toc306096311 \h </w:instrText>
      </w:r>
      <w:r>
        <w:rPr>
          <w:noProof/>
        </w:rPr>
      </w:r>
      <w:r>
        <w:rPr>
          <w:noProof/>
        </w:rPr>
        <w:fldChar w:fldCharType="separate"/>
      </w:r>
      <w:r w:rsidR="00E52773">
        <w:rPr>
          <w:noProof/>
        </w:rPr>
        <w:t>3</w:t>
      </w:r>
      <w:r>
        <w:rPr>
          <w:noProof/>
        </w:rPr>
        <w:fldChar w:fldCharType="end"/>
      </w:r>
    </w:p>
    <w:p w14:paraId="2E5496A2" w14:textId="77777777" w:rsidR="00E24CEC" w:rsidRDefault="00E24CEC">
      <w:pPr>
        <w:pStyle w:val="TOC2"/>
        <w:tabs>
          <w:tab w:val="left" w:pos="390"/>
        </w:tabs>
        <w:rPr>
          <w:rFonts w:asciiTheme="minorHAnsi" w:eastAsiaTheme="minorEastAsia" w:hAnsiTheme="minorHAnsi" w:cstheme="minorBidi"/>
          <w:noProof/>
          <w:sz w:val="24"/>
          <w:szCs w:val="24"/>
          <w:lang w:eastAsia="ja-JP"/>
        </w:rPr>
      </w:pPr>
      <w:r>
        <w:rPr>
          <w:noProof/>
        </w:rPr>
        <w:t>4.</w:t>
      </w:r>
      <w:r>
        <w:rPr>
          <w:rFonts w:asciiTheme="minorHAnsi" w:eastAsiaTheme="minorEastAsia" w:hAnsiTheme="minorHAnsi" w:cstheme="minorBidi"/>
          <w:noProof/>
          <w:sz w:val="24"/>
          <w:szCs w:val="24"/>
          <w:lang w:eastAsia="ja-JP"/>
        </w:rPr>
        <w:tab/>
      </w:r>
      <w:r>
        <w:rPr>
          <w:noProof/>
        </w:rPr>
        <w:t>Runaway Jury:  The Case for Grand Jury Reform</w:t>
      </w:r>
      <w:r>
        <w:rPr>
          <w:noProof/>
        </w:rPr>
        <w:tab/>
      </w:r>
      <w:r>
        <w:rPr>
          <w:noProof/>
        </w:rPr>
        <w:fldChar w:fldCharType="begin"/>
      </w:r>
      <w:r>
        <w:rPr>
          <w:noProof/>
        </w:rPr>
        <w:instrText xml:space="preserve"> PAGEREF _Toc306096312 \h </w:instrText>
      </w:r>
      <w:r>
        <w:rPr>
          <w:noProof/>
        </w:rPr>
      </w:r>
      <w:r>
        <w:rPr>
          <w:noProof/>
        </w:rPr>
        <w:fldChar w:fldCharType="separate"/>
      </w:r>
      <w:r w:rsidR="00E52773">
        <w:rPr>
          <w:noProof/>
        </w:rPr>
        <w:t>3</w:t>
      </w:r>
      <w:r>
        <w:rPr>
          <w:noProof/>
        </w:rPr>
        <w:fldChar w:fldCharType="end"/>
      </w:r>
    </w:p>
    <w:p w14:paraId="7E237EC5" w14:textId="77777777" w:rsidR="00E24CEC" w:rsidRDefault="00E24CEC">
      <w:pPr>
        <w:pStyle w:val="TOC2"/>
        <w:tabs>
          <w:tab w:val="left" w:pos="390"/>
        </w:tabs>
        <w:rPr>
          <w:rFonts w:asciiTheme="minorHAnsi" w:eastAsiaTheme="minorEastAsia" w:hAnsiTheme="minorHAnsi" w:cstheme="minorBidi"/>
          <w:noProof/>
          <w:sz w:val="24"/>
          <w:szCs w:val="24"/>
          <w:lang w:eastAsia="ja-JP"/>
        </w:rPr>
      </w:pPr>
      <w:r>
        <w:rPr>
          <w:noProof/>
        </w:rPr>
        <w:t>5.</w:t>
      </w:r>
      <w:r>
        <w:rPr>
          <w:rFonts w:asciiTheme="minorHAnsi" w:eastAsiaTheme="minorEastAsia" w:hAnsiTheme="minorHAnsi" w:cstheme="minorBidi"/>
          <w:noProof/>
          <w:sz w:val="24"/>
          <w:szCs w:val="24"/>
          <w:lang w:eastAsia="ja-JP"/>
        </w:rPr>
        <w:tab/>
      </w:r>
      <w:r>
        <w:rPr>
          <w:noProof/>
        </w:rPr>
        <w:t>Deal With The Devil:  The Case for Abolishing Plea Bargaining</w:t>
      </w:r>
      <w:r>
        <w:rPr>
          <w:noProof/>
        </w:rPr>
        <w:tab/>
      </w:r>
      <w:r>
        <w:rPr>
          <w:noProof/>
        </w:rPr>
        <w:fldChar w:fldCharType="begin"/>
      </w:r>
      <w:r>
        <w:rPr>
          <w:noProof/>
        </w:rPr>
        <w:instrText xml:space="preserve"> PAGEREF _Toc306096313 \h </w:instrText>
      </w:r>
      <w:r>
        <w:rPr>
          <w:noProof/>
        </w:rPr>
      </w:r>
      <w:r>
        <w:rPr>
          <w:noProof/>
        </w:rPr>
        <w:fldChar w:fldCharType="separate"/>
      </w:r>
      <w:r w:rsidR="00E52773">
        <w:rPr>
          <w:noProof/>
        </w:rPr>
        <w:t>4</w:t>
      </w:r>
      <w:r>
        <w:rPr>
          <w:noProof/>
        </w:rPr>
        <w:fldChar w:fldCharType="end"/>
      </w:r>
    </w:p>
    <w:p w14:paraId="32C33511" w14:textId="77777777" w:rsidR="00E24CEC" w:rsidRDefault="00E24CEC">
      <w:pPr>
        <w:pStyle w:val="TOC2"/>
        <w:tabs>
          <w:tab w:val="left" w:pos="390"/>
        </w:tabs>
        <w:rPr>
          <w:rFonts w:asciiTheme="minorHAnsi" w:eastAsiaTheme="minorEastAsia" w:hAnsiTheme="minorHAnsi" w:cstheme="minorBidi"/>
          <w:noProof/>
          <w:sz w:val="24"/>
          <w:szCs w:val="24"/>
          <w:lang w:eastAsia="ja-JP"/>
        </w:rPr>
      </w:pPr>
      <w:r>
        <w:rPr>
          <w:noProof/>
        </w:rPr>
        <w:t>6.</w:t>
      </w:r>
      <w:r>
        <w:rPr>
          <w:rFonts w:asciiTheme="minorHAnsi" w:eastAsiaTheme="minorEastAsia" w:hAnsiTheme="minorHAnsi" w:cstheme="minorBidi"/>
          <w:noProof/>
          <w:sz w:val="24"/>
          <w:szCs w:val="24"/>
          <w:lang w:eastAsia="ja-JP"/>
        </w:rPr>
        <w:tab/>
      </w:r>
      <w:r>
        <w:rPr>
          <w:noProof/>
        </w:rPr>
        <w:t>A Good Lawyer:  The Case for Legal Representation in Immigration Courts</w:t>
      </w:r>
      <w:r>
        <w:rPr>
          <w:noProof/>
        </w:rPr>
        <w:tab/>
      </w:r>
      <w:r>
        <w:rPr>
          <w:noProof/>
        </w:rPr>
        <w:fldChar w:fldCharType="begin"/>
      </w:r>
      <w:r>
        <w:rPr>
          <w:noProof/>
        </w:rPr>
        <w:instrText xml:space="preserve"> PAGEREF _Toc306096314 \h </w:instrText>
      </w:r>
      <w:r>
        <w:rPr>
          <w:noProof/>
        </w:rPr>
      </w:r>
      <w:r>
        <w:rPr>
          <w:noProof/>
        </w:rPr>
        <w:fldChar w:fldCharType="separate"/>
      </w:r>
      <w:r w:rsidR="00E52773">
        <w:rPr>
          <w:noProof/>
        </w:rPr>
        <w:t>5</w:t>
      </w:r>
      <w:r>
        <w:rPr>
          <w:noProof/>
        </w:rPr>
        <w:fldChar w:fldCharType="end"/>
      </w:r>
    </w:p>
    <w:p w14:paraId="05D79D6E" w14:textId="77777777" w:rsidR="00E24CEC" w:rsidRDefault="00E24CEC">
      <w:pPr>
        <w:pStyle w:val="TOC2"/>
        <w:tabs>
          <w:tab w:val="left" w:pos="390"/>
        </w:tabs>
        <w:rPr>
          <w:rFonts w:asciiTheme="minorHAnsi" w:eastAsiaTheme="minorEastAsia" w:hAnsiTheme="minorHAnsi" w:cstheme="minorBidi"/>
          <w:noProof/>
          <w:sz w:val="24"/>
          <w:szCs w:val="24"/>
          <w:lang w:eastAsia="ja-JP"/>
        </w:rPr>
      </w:pPr>
      <w:r>
        <w:rPr>
          <w:noProof/>
        </w:rPr>
        <w:t>7.</w:t>
      </w:r>
      <w:r>
        <w:rPr>
          <w:rFonts w:asciiTheme="minorHAnsi" w:eastAsiaTheme="minorEastAsia" w:hAnsiTheme="minorHAnsi" w:cstheme="minorBidi"/>
          <w:noProof/>
          <w:sz w:val="24"/>
          <w:szCs w:val="24"/>
          <w:lang w:eastAsia="ja-JP"/>
        </w:rPr>
        <w:tab/>
      </w:r>
      <w:r>
        <w:rPr>
          <w:noProof/>
        </w:rPr>
        <w:t>Retirement Plan:  The Case for Supreme Court Term Limits</w:t>
      </w:r>
      <w:r>
        <w:rPr>
          <w:noProof/>
        </w:rPr>
        <w:tab/>
      </w:r>
      <w:r>
        <w:rPr>
          <w:noProof/>
        </w:rPr>
        <w:fldChar w:fldCharType="begin"/>
      </w:r>
      <w:r>
        <w:rPr>
          <w:noProof/>
        </w:rPr>
        <w:instrText xml:space="preserve"> PAGEREF _Toc306096315 \h </w:instrText>
      </w:r>
      <w:r>
        <w:rPr>
          <w:noProof/>
        </w:rPr>
      </w:r>
      <w:r>
        <w:rPr>
          <w:noProof/>
        </w:rPr>
        <w:fldChar w:fldCharType="separate"/>
      </w:r>
      <w:r w:rsidR="00E52773">
        <w:rPr>
          <w:noProof/>
        </w:rPr>
        <w:t>6</w:t>
      </w:r>
      <w:r>
        <w:rPr>
          <w:noProof/>
        </w:rPr>
        <w:fldChar w:fldCharType="end"/>
      </w:r>
    </w:p>
    <w:p w14:paraId="3BBF26AE" w14:textId="77777777" w:rsidR="00E24CEC" w:rsidRDefault="00E24CEC">
      <w:pPr>
        <w:pStyle w:val="TOC2"/>
        <w:tabs>
          <w:tab w:val="left" w:pos="390"/>
        </w:tabs>
        <w:rPr>
          <w:rFonts w:asciiTheme="minorHAnsi" w:eastAsiaTheme="minorEastAsia" w:hAnsiTheme="minorHAnsi" w:cstheme="minorBidi"/>
          <w:noProof/>
          <w:sz w:val="24"/>
          <w:szCs w:val="24"/>
          <w:lang w:eastAsia="ja-JP"/>
        </w:rPr>
      </w:pPr>
      <w:r>
        <w:rPr>
          <w:noProof/>
        </w:rPr>
        <w:t>8.</w:t>
      </w:r>
      <w:r>
        <w:rPr>
          <w:rFonts w:asciiTheme="minorHAnsi" w:eastAsiaTheme="minorEastAsia" w:hAnsiTheme="minorHAnsi" w:cstheme="minorBidi"/>
          <w:noProof/>
          <w:sz w:val="24"/>
          <w:szCs w:val="24"/>
          <w:lang w:eastAsia="ja-JP"/>
        </w:rPr>
        <w:tab/>
      </w:r>
      <w:r>
        <w:rPr>
          <w:noProof/>
        </w:rPr>
        <w:t>Despicable Me:  The Case for the Supreme Court Ethics Act</w:t>
      </w:r>
      <w:r>
        <w:rPr>
          <w:noProof/>
        </w:rPr>
        <w:tab/>
      </w:r>
      <w:r>
        <w:rPr>
          <w:noProof/>
        </w:rPr>
        <w:fldChar w:fldCharType="begin"/>
      </w:r>
      <w:r>
        <w:rPr>
          <w:noProof/>
        </w:rPr>
        <w:instrText xml:space="preserve"> PAGEREF _Toc306096316 \h </w:instrText>
      </w:r>
      <w:r>
        <w:rPr>
          <w:noProof/>
        </w:rPr>
      </w:r>
      <w:r>
        <w:rPr>
          <w:noProof/>
        </w:rPr>
        <w:fldChar w:fldCharType="separate"/>
      </w:r>
      <w:r w:rsidR="00E52773">
        <w:rPr>
          <w:noProof/>
        </w:rPr>
        <w:t>6</w:t>
      </w:r>
      <w:r>
        <w:rPr>
          <w:noProof/>
        </w:rPr>
        <w:fldChar w:fldCharType="end"/>
      </w:r>
    </w:p>
    <w:p w14:paraId="2F3BB103" w14:textId="77777777" w:rsidR="00E24CEC" w:rsidRDefault="00E24CEC">
      <w:pPr>
        <w:pStyle w:val="TOC2"/>
        <w:tabs>
          <w:tab w:val="left" w:pos="390"/>
        </w:tabs>
        <w:rPr>
          <w:rFonts w:asciiTheme="minorHAnsi" w:eastAsiaTheme="minorEastAsia" w:hAnsiTheme="minorHAnsi" w:cstheme="minorBidi"/>
          <w:noProof/>
          <w:sz w:val="24"/>
          <w:szCs w:val="24"/>
          <w:lang w:eastAsia="ja-JP"/>
        </w:rPr>
      </w:pPr>
      <w:r>
        <w:rPr>
          <w:noProof/>
        </w:rPr>
        <w:t>9.</w:t>
      </w:r>
      <w:r>
        <w:rPr>
          <w:rFonts w:asciiTheme="minorHAnsi" w:eastAsiaTheme="minorEastAsia" w:hAnsiTheme="minorHAnsi" w:cstheme="minorBidi"/>
          <w:noProof/>
          <w:sz w:val="24"/>
          <w:szCs w:val="24"/>
          <w:lang w:eastAsia="ja-JP"/>
        </w:rPr>
        <w:tab/>
      </w:r>
      <w:r>
        <w:rPr>
          <w:noProof/>
        </w:rPr>
        <w:t>Officer and a Gentleman:  The Case for the Military Justice Improvement Act</w:t>
      </w:r>
      <w:r>
        <w:rPr>
          <w:noProof/>
        </w:rPr>
        <w:tab/>
      </w:r>
      <w:r>
        <w:rPr>
          <w:noProof/>
        </w:rPr>
        <w:fldChar w:fldCharType="begin"/>
      </w:r>
      <w:r>
        <w:rPr>
          <w:noProof/>
        </w:rPr>
        <w:instrText xml:space="preserve"> PAGEREF _Toc306096317 \h </w:instrText>
      </w:r>
      <w:r>
        <w:rPr>
          <w:noProof/>
        </w:rPr>
      </w:r>
      <w:r>
        <w:rPr>
          <w:noProof/>
        </w:rPr>
        <w:fldChar w:fldCharType="separate"/>
      </w:r>
      <w:r w:rsidR="00E52773">
        <w:rPr>
          <w:noProof/>
        </w:rPr>
        <w:t>6</w:t>
      </w:r>
      <w:r>
        <w:rPr>
          <w:noProof/>
        </w:rPr>
        <w:fldChar w:fldCharType="end"/>
      </w:r>
    </w:p>
    <w:p w14:paraId="200284BA" w14:textId="77777777" w:rsidR="00E24CEC" w:rsidRDefault="00E24CEC">
      <w:pPr>
        <w:pStyle w:val="TOC2"/>
        <w:tabs>
          <w:tab w:val="left" w:pos="490"/>
        </w:tabs>
        <w:rPr>
          <w:rFonts w:asciiTheme="minorHAnsi" w:eastAsiaTheme="minorEastAsia" w:hAnsiTheme="minorHAnsi" w:cstheme="minorBidi"/>
          <w:noProof/>
          <w:sz w:val="24"/>
          <w:szCs w:val="24"/>
          <w:lang w:eastAsia="ja-JP"/>
        </w:rPr>
      </w:pPr>
      <w:r>
        <w:rPr>
          <w:noProof/>
        </w:rPr>
        <w:t>10.</w:t>
      </w:r>
      <w:r>
        <w:rPr>
          <w:rFonts w:asciiTheme="minorHAnsi" w:eastAsiaTheme="minorEastAsia" w:hAnsiTheme="minorHAnsi" w:cstheme="minorBidi"/>
          <w:noProof/>
          <w:sz w:val="24"/>
          <w:szCs w:val="24"/>
          <w:lang w:eastAsia="ja-JP"/>
        </w:rPr>
        <w:tab/>
      </w:r>
      <w:r>
        <w:rPr>
          <w:noProof/>
        </w:rPr>
        <w:t>Trials and Tribulations: The Case for Abolishing Diversity Jurisdiction</w:t>
      </w:r>
      <w:r>
        <w:rPr>
          <w:noProof/>
        </w:rPr>
        <w:tab/>
      </w:r>
      <w:r>
        <w:rPr>
          <w:noProof/>
        </w:rPr>
        <w:fldChar w:fldCharType="begin"/>
      </w:r>
      <w:r>
        <w:rPr>
          <w:noProof/>
        </w:rPr>
        <w:instrText xml:space="preserve"> PAGEREF _Toc306096318 \h </w:instrText>
      </w:r>
      <w:r>
        <w:rPr>
          <w:noProof/>
        </w:rPr>
      </w:r>
      <w:r>
        <w:rPr>
          <w:noProof/>
        </w:rPr>
        <w:fldChar w:fldCharType="separate"/>
      </w:r>
      <w:r w:rsidR="00E52773">
        <w:rPr>
          <w:noProof/>
        </w:rPr>
        <w:t>7</w:t>
      </w:r>
      <w:r>
        <w:rPr>
          <w:noProof/>
        </w:rPr>
        <w:fldChar w:fldCharType="end"/>
      </w:r>
    </w:p>
    <w:p w14:paraId="1BAA95BC" w14:textId="77777777" w:rsidR="00E24CEC" w:rsidRDefault="00E24CEC">
      <w:pPr>
        <w:pStyle w:val="TOC2"/>
        <w:tabs>
          <w:tab w:val="left" w:pos="490"/>
        </w:tabs>
        <w:rPr>
          <w:rFonts w:asciiTheme="minorHAnsi" w:eastAsiaTheme="minorEastAsia" w:hAnsiTheme="minorHAnsi" w:cstheme="minorBidi"/>
          <w:noProof/>
          <w:sz w:val="24"/>
          <w:szCs w:val="24"/>
          <w:lang w:eastAsia="ja-JP"/>
        </w:rPr>
      </w:pPr>
      <w:r>
        <w:rPr>
          <w:noProof/>
        </w:rPr>
        <w:t>11.</w:t>
      </w:r>
      <w:r>
        <w:rPr>
          <w:rFonts w:asciiTheme="minorHAnsi" w:eastAsiaTheme="minorEastAsia" w:hAnsiTheme="minorHAnsi" w:cstheme="minorBidi"/>
          <w:noProof/>
          <w:sz w:val="24"/>
          <w:szCs w:val="24"/>
          <w:lang w:eastAsia="ja-JP"/>
        </w:rPr>
        <w:tab/>
      </w:r>
      <w:r>
        <w:rPr>
          <w:noProof/>
        </w:rPr>
        <w:t>Location, Location, Location:  The Case for the Bankruptcy Venue Reform Act</w:t>
      </w:r>
      <w:r>
        <w:rPr>
          <w:noProof/>
        </w:rPr>
        <w:tab/>
      </w:r>
      <w:r>
        <w:rPr>
          <w:noProof/>
        </w:rPr>
        <w:fldChar w:fldCharType="begin"/>
      </w:r>
      <w:r>
        <w:rPr>
          <w:noProof/>
        </w:rPr>
        <w:instrText xml:space="preserve"> PAGEREF _Toc306096319 \h </w:instrText>
      </w:r>
      <w:r>
        <w:rPr>
          <w:noProof/>
        </w:rPr>
      </w:r>
      <w:r>
        <w:rPr>
          <w:noProof/>
        </w:rPr>
        <w:fldChar w:fldCharType="separate"/>
      </w:r>
      <w:r w:rsidR="00E52773">
        <w:rPr>
          <w:noProof/>
        </w:rPr>
        <w:t>8</w:t>
      </w:r>
      <w:r>
        <w:rPr>
          <w:noProof/>
        </w:rPr>
        <w:fldChar w:fldCharType="end"/>
      </w:r>
    </w:p>
    <w:p w14:paraId="7A3F0FAE" w14:textId="77777777" w:rsidR="00E24CEC" w:rsidRDefault="00E24CEC">
      <w:pPr>
        <w:pStyle w:val="TOC2"/>
        <w:tabs>
          <w:tab w:val="left" w:pos="490"/>
        </w:tabs>
        <w:rPr>
          <w:rFonts w:asciiTheme="minorHAnsi" w:eastAsiaTheme="minorEastAsia" w:hAnsiTheme="minorHAnsi" w:cstheme="minorBidi"/>
          <w:noProof/>
          <w:sz w:val="24"/>
          <w:szCs w:val="24"/>
          <w:lang w:eastAsia="ja-JP"/>
        </w:rPr>
      </w:pPr>
      <w:r>
        <w:rPr>
          <w:noProof/>
        </w:rPr>
        <w:t>12.</w:t>
      </w:r>
      <w:r>
        <w:rPr>
          <w:rFonts w:asciiTheme="minorHAnsi" w:eastAsiaTheme="minorEastAsia" w:hAnsiTheme="minorHAnsi" w:cstheme="minorBidi"/>
          <w:noProof/>
          <w:sz w:val="24"/>
          <w:szCs w:val="24"/>
          <w:lang w:eastAsia="ja-JP"/>
        </w:rPr>
        <w:tab/>
      </w:r>
      <w:r>
        <w:rPr>
          <w:noProof/>
        </w:rPr>
        <w:t>Here’s Looking At You: The Case for Courtroom Cameras</w:t>
      </w:r>
      <w:r>
        <w:rPr>
          <w:noProof/>
        </w:rPr>
        <w:tab/>
      </w:r>
      <w:r>
        <w:rPr>
          <w:noProof/>
        </w:rPr>
        <w:fldChar w:fldCharType="begin"/>
      </w:r>
      <w:r>
        <w:rPr>
          <w:noProof/>
        </w:rPr>
        <w:instrText xml:space="preserve"> PAGEREF _Toc306096320 \h </w:instrText>
      </w:r>
      <w:r>
        <w:rPr>
          <w:noProof/>
        </w:rPr>
      </w:r>
      <w:r>
        <w:rPr>
          <w:noProof/>
        </w:rPr>
        <w:fldChar w:fldCharType="separate"/>
      </w:r>
      <w:r w:rsidR="00E52773">
        <w:rPr>
          <w:noProof/>
        </w:rPr>
        <w:t>9</w:t>
      </w:r>
      <w:r>
        <w:rPr>
          <w:noProof/>
        </w:rPr>
        <w:fldChar w:fldCharType="end"/>
      </w:r>
    </w:p>
    <w:p w14:paraId="45BD4B70" w14:textId="77777777" w:rsidR="00934A35" w:rsidRDefault="00934A35" w:rsidP="00934A35">
      <w:pPr>
        <w:pStyle w:val="TOC2"/>
        <w:sectPr w:rsidR="00934A35" w:rsidSect="0008674B">
          <w:headerReference w:type="default" r:id="rId8"/>
          <w:footerReference w:type="default" r:id="rId9"/>
          <w:pgSz w:w="12240" w:h="15840"/>
          <w:pgMar w:top="1440" w:right="1440" w:bottom="1440" w:left="1440" w:header="720" w:footer="720" w:gutter="0"/>
          <w:cols w:space="720"/>
        </w:sectPr>
      </w:pPr>
      <w:r>
        <w:fldChar w:fldCharType="end"/>
      </w:r>
    </w:p>
    <w:p w14:paraId="1A3B6F78" w14:textId="60914973" w:rsidR="00E0401C" w:rsidRDefault="00E0401C" w:rsidP="00E24CEC">
      <w:pPr>
        <w:pStyle w:val="Contention1"/>
        <w:numPr>
          <w:ilvl w:val="0"/>
          <w:numId w:val="27"/>
        </w:numPr>
      </w:pPr>
      <w:bookmarkStart w:id="1" w:name="_Toc306096309"/>
      <w:r>
        <w:lastRenderedPageBreak/>
        <w:t>Declaration of Independence:  The Case for Immigration Court Independence</w:t>
      </w:r>
      <w:bookmarkEnd w:id="1"/>
    </w:p>
    <w:p w14:paraId="0F93C74B" w14:textId="2F9B3B32" w:rsidR="00E0401C" w:rsidRDefault="00E0401C" w:rsidP="00E0401C">
      <w:pPr>
        <w:pStyle w:val="Evidence"/>
      </w:pPr>
      <w:r>
        <w:t xml:space="preserve">An illegal immigrant is picked up and taken into custody by US customs officials.  He tells them he has been tortured in his home country and is afraid to return, and requests a refugee visa to start a new life in the US.  Is he telling the truth?  He may indeed be a genuine victim of oppression and worthy of refuge under our generous immigration refugee laws.  On the other hand, he may be a lying imposter using any excuse to cheat the system and avoid deportation.  It’s the job of U.S. immigration courts to give him a hearing and find the truth.  This case argues that, unfortunately, this federal court system is bogged down with inefficiency and structurally incapable of judging such cases fairly.  </w:t>
      </w:r>
    </w:p>
    <w:p w14:paraId="713AC1D5" w14:textId="068120E2" w:rsidR="00E0401C" w:rsidRDefault="00E0401C" w:rsidP="00E0401C">
      <w:pPr>
        <w:pStyle w:val="Evidence"/>
      </w:pPr>
      <w:r>
        <w:t>There are two structural problems identified in this case.  First, the excessive workload piled onto the existing number of immigration judges.  The caseloads and backlogs are enormous, and immigrants wait years for their appointments with justice.  And the so-called justice must be dispensed in a rushed fashion because there isn’t time to really look at the cases too carefully</w:t>
      </w:r>
      <w:proofErr w:type="gramStart"/>
      <w:r>
        <w:t>:   too</w:t>
      </w:r>
      <w:proofErr w:type="gramEnd"/>
      <w:r>
        <w:t xml:space="preserve"> many other cases are waiting.   Experts recommend doubling the number of immigration judges, and this plan does exactly that.</w:t>
      </w:r>
    </w:p>
    <w:p w14:paraId="4AD2728B" w14:textId="40BBAFD2" w:rsidR="00E0401C" w:rsidRDefault="00E0401C" w:rsidP="00E0401C">
      <w:pPr>
        <w:pStyle w:val="Evidence"/>
      </w:pPr>
      <w:r>
        <w:t xml:space="preserve">Second, immigration courts are not separate, independent courts that we normally think of when we think of federal courts.  They are courts and they are part of the federal government, but they are also employees of the Justice Department and the </w:t>
      </w:r>
      <w:proofErr w:type="gramStart"/>
      <w:r>
        <w:t>judges</w:t>
      </w:r>
      <w:proofErr w:type="gramEnd"/>
      <w:r>
        <w:t xml:space="preserve"> report to the Attorney General.  That would be the same Attorney General who also is the boss over the prosecutors who are arguing the government’s case before the court.  It’s hard to imagine how a system could ever produce justice when the prosecutor and the judge are both on the same side. This plan solves that injustice by separating out the immigration courts and making them Article I courts that do not report to the Justice Department.</w:t>
      </w:r>
    </w:p>
    <w:p w14:paraId="374EADC7" w14:textId="4B8CED3C" w:rsidR="00E0401C" w:rsidRDefault="00E0401C" w:rsidP="00E0401C">
      <w:pPr>
        <w:pStyle w:val="Evidence"/>
      </w:pPr>
      <w:r>
        <w:t xml:space="preserve">Negatives will argue that immigration court backlog is a symptom, not of a problem with immigration courts, but more fundamentally with our immigration (and illegal immigration) policies.  We simply don’t do enough to stop illegal immigration, and we have too wide open a policy on defining just about everyone in the world as a “refugee.”  Tightening up on immigration itself would solve the real root cause and make America a better place, rather than masking the problem by speeding up immigration courts.  </w:t>
      </w:r>
      <w:r w:rsidR="002B6EA9">
        <w:t xml:space="preserve">Most of the aliens allegedly harmed by the long delays in the immigration courts aren’t even claiming any valid reason to avoid </w:t>
      </w:r>
      <w:proofErr w:type="gramStart"/>
      <w:r w:rsidR="002B6EA9">
        <w:t>deportation,</w:t>
      </w:r>
      <w:proofErr w:type="gramEnd"/>
      <w:r w:rsidR="002B6EA9">
        <w:t xml:space="preserve"> they’re just clogging up the system hoping to stay by delay.  And the costs of the Affirmative plan would be prohibitive. </w:t>
      </w:r>
    </w:p>
    <w:p w14:paraId="7F05D607" w14:textId="00FA6235" w:rsidR="00E0401C" w:rsidRDefault="000A3A01" w:rsidP="00E24CEC">
      <w:pPr>
        <w:pStyle w:val="Contention1"/>
        <w:numPr>
          <w:ilvl w:val="0"/>
          <w:numId w:val="27"/>
        </w:numPr>
      </w:pPr>
      <w:bookmarkStart w:id="2" w:name="_Toc306096310"/>
      <w:r>
        <w:t>Starry Night:  The Case for Abolishing the FISA Court</w:t>
      </w:r>
      <w:bookmarkEnd w:id="2"/>
    </w:p>
    <w:p w14:paraId="20963451" w14:textId="1AEFA8DC" w:rsidR="000A3A01" w:rsidRDefault="000A3A01" w:rsidP="000A3A01">
      <w:pPr>
        <w:pStyle w:val="Evidence"/>
      </w:pPr>
      <w:r>
        <w:t xml:space="preserve">The infamous “Star Chamber” was a secret court run by the British monarchy until its abuses led Parliament to abolish it in 1641.  Courts that function in secret have no place in a democratically governed, freedom-loving society based on constitutional respect for human rights.  The Foreign Intelligence Surveillance Court (FISC), also known as the FISA (Foreign Intelligence Surveillance Act) Court, is just such a court and deserves the same fate as the Star Chamber. </w:t>
      </w:r>
    </w:p>
    <w:p w14:paraId="70532451" w14:textId="2B2E8876" w:rsidR="000A3A01" w:rsidRDefault="000A3A01" w:rsidP="000A3A01">
      <w:pPr>
        <w:pStyle w:val="Evidence"/>
      </w:pPr>
      <w:r>
        <w:t>FISC was established in 1978 in response to the abuses uncovered in the mid-1970s during the Watergate investigations (abuses of Presidential power) and revelations of the Church Committee (abuses by intelligence agencies).  The FISA court is a special panel made up of federal judges who normally serve elsewhere, brought in to Washington DC to review applications for surveillance on suspected foreign terrorists and spies operating inside the US.  The standard for approval is that the government must demonstrate that the information gathered would be relevant to an international terrorism or espionage investigation.</w:t>
      </w:r>
    </w:p>
    <w:p w14:paraId="7263A241" w14:textId="1FCECDC4" w:rsidR="003637F0" w:rsidRDefault="003637F0" w:rsidP="000A3A01">
      <w:pPr>
        <w:pStyle w:val="Evidence"/>
      </w:pPr>
      <w:r>
        <w:t>The court meets and issues its findings in secret because it deals with investigations of international espionage or terrorist conspiracies, where national security is at risk.  But this secrecy allows the government to get away with a lot of things.  Some experts argue that the FISC is merely a rubberstamp that allows virtually unchecked government surveillance on American citizens and guts the 4</w:t>
      </w:r>
      <w:r w:rsidRPr="003637F0">
        <w:rPr>
          <w:vertAlign w:val="superscript"/>
        </w:rPr>
        <w:t>th</w:t>
      </w:r>
      <w:r>
        <w:t xml:space="preserve"> Amendment.  </w:t>
      </w:r>
    </w:p>
    <w:p w14:paraId="691A25F1" w14:textId="0D420AEF" w:rsidR="000A3A01" w:rsidRDefault="003637F0" w:rsidP="000A3A01">
      <w:pPr>
        <w:pStyle w:val="Evidence"/>
      </w:pPr>
      <w:r>
        <w:lastRenderedPageBreak/>
        <w:t>The solution is a bit surprising: abolish FISC, the so-called safeguard against abuse, and let the legality of searches be decided after the fact in Article III courts (the federal courts that normally hear applications for surveillance warrants under the 4</w:t>
      </w:r>
      <w:r w:rsidRPr="003637F0">
        <w:rPr>
          <w:vertAlign w:val="superscript"/>
        </w:rPr>
        <w:t>th</w:t>
      </w:r>
      <w:r>
        <w:t xml:space="preserve"> Amendment).  The federal government can conduct all the foreign intelligence surveillance it wants, but if they pick up something they want to use in a criminal prosecution, the reasonableness of the surveillance can be challenged (like the fruits of any other unwarranted search) and will be thrown out of court if a warrant was required and not obtained.</w:t>
      </w:r>
    </w:p>
    <w:p w14:paraId="5BB88F59" w14:textId="46A96204" w:rsidR="007C177F" w:rsidRDefault="007C177F" w:rsidP="000A3A01">
      <w:pPr>
        <w:pStyle w:val="Evidence"/>
      </w:pPr>
      <w:r>
        <w:t>Negatives will argue that FISC is effective, and that abolishing it would send us back to the 1970s and the dark days of all the bad abuses that led to FISC being created in the first place.  FISA contains plenty of safeguards that are effectively protecting the 4</w:t>
      </w:r>
      <w:r w:rsidRPr="007C177F">
        <w:rPr>
          <w:vertAlign w:val="superscript"/>
        </w:rPr>
        <w:t>th</w:t>
      </w:r>
      <w:r>
        <w:t xml:space="preserve"> Amendment rights of Americans today.</w:t>
      </w:r>
    </w:p>
    <w:p w14:paraId="3146B64A" w14:textId="6285C5C8" w:rsidR="00DC5BF5" w:rsidRDefault="00DC5BF5" w:rsidP="00E24CEC">
      <w:pPr>
        <w:pStyle w:val="Contention1"/>
        <w:numPr>
          <w:ilvl w:val="0"/>
          <w:numId w:val="27"/>
        </w:numPr>
      </w:pPr>
      <w:bookmarkStart w:id="3" w:name="_Toc306096311"/>
      <w:r>
        <w:t>Serious Reservations:  The Case for Indian Tribal Sovereignty</w:t>
      </w:r>
      <w:bookmarkEnd w:id="3"/>
    </w:p>
    <w:p w14:paraId="788212DC" w14:textId="2602B286" w:rsidR="00DC5BF5" w:rsidRDefault="00DC5BF5" w:rsidP="00DC5BF5">
      <w:pPr>
        <w:pStyle w:val="Evidence"/>
      </w:pPr>
      <w:r>
        <w:t xml:space="preserve">In its landmark 1954 decision Brown v. Board of Education, the Supreme Court finally ruled that racial segregation in public facilities was unconstitutional and had to stop, putting an end to the old racist motto of “separate but equal.” Except in one case: American citizens who happen to also be Native American Indians. For them, the court system is separate and highly </w:t>
      </w:r>
      <w:proofErr w:type="gramStart"/>
      <w:r>
        <w:t>Unequal</w:t>
      </w:r>
      <w:proofErr w:type="gramEnd"/>
      <w:r>
        <w:t>.  It either sends them into the federal court system for minor crimes, or else ignores crimes altogether because they are too hard to prosecute when tribal authorities’ hands are tied and the far away federal government is the only sovereign with jurisdiction to investigate.</w:t>
      </w:r>
    </w:p>
    <w:p w14:paraId="47301548" w14:textId="48E6B81B" w:rsidR="00DC5BF5" w:rsidRDefault="00DC5BF5" w:rsidP="00DC5BF5">
      <w:pPr>
        <w:pStyle w:val="Evidence"/>
      </w:pPr>
      <w:r>
        <w:t xml:space="preserve">The federal Major Crimes Act of 1885 and the Supreme Court decision </w:t>
      </w:r>
      <w:r w:rsidRPr="00DC5BF5">
        <w:rPr>
          <w:i/>
        </w:rPr>
        <w:t>Oliphant v. Suquamish</w:t>
      </w:r>
      <w:r>
        <w:t xml:space="preserve"> in 1978 took away from Indian tribal courts the right to handle many types of criminal cases that frequently arise on Indian reservations.  Those cases get sent, instead, to federal courts, of which, by the way, there is not a single one located on an</w:t>
      </w:r>
      <w:r w:rsidR="00D80A9A">
        <w:t>y</w:t>
      </w:r>
      <w:r>
        <w:t xml:space="preserve"> Indian reservation in this country.</w:t>
      </w:r>
    </w:p>
    <w:p w14:paraId="73D9F8FF" w14:textId="483C7A3A" w:rsidR="00DC5BF5" w:rsidRDefault="00DC5BF5" w:rsidP="00DC5BF5">
      <w:pPr>
        <w:pStyle w:val="Evidence"/>
      </w:pPr>
      <w:r>
        <w:t xml:space="preserve">Many cases simply don’t get prosecuted, due to the distance and complexity of involving federal jurisdiction.  Tribal police would love to arrest and tribal courts would love to prosecute numerous offenders, but </w:t>
      </w:r>
      <w:proofErr w:type="gramStart"/>
      <w:r>
        <w:t xml:space="preserve">their </w:t>
      </w:r>
      <w:r w:rsidR="00060D86">
        <w:t>hands are tied by S</w:t>
      </w:r>
      <w:r>
        <w:t xml:space="preserve">tatus </w:t>
      </w:r>
      <w:r w:rsidR="00060D86">
        <w:t>Q</w:t>
      </w:r>
      <w:r>
        <w:t>uo laws</w:t>
      </w:r>
      <w:proofErr w:type="gramEnd"/>
      <w:r>
        <w:t xml:space="preserve">.  The solution is to reduce mandatory federal court jurisdiction over crimes committed on Indian reservations and hand jurisdiction back to tribal courts on a voluntary basis. Those tribes that want the responsibility should be allowed to take it back.  After all, Indian nations were handling these things long before Anglo-American law ever came along, and they could </w:t>
      </w:r>
      <w:r w:rsidR="00D80A9A">
        <w:t>do so again much more fairly and efficiently than the Status Quo.</w:t>
      </w:r>
    </w:p>
    <w:p w14:paraId="086F09A3" w14:textId="38310530" w:rsidR="00D80A9A" w:rsidRDefault="00D80A9A" w:rsidP="00DC5BF5">
      <w:pPr>
        <w:pStyle w:val="Evidence"/>
      </w:pPr>
      <w:r>
        <w:t>Negatives will argue that there isn’t (or at least shouldn’t be) any such thing as Indian sovereignty.  These are American citizens living in America, and creating special court systems run by one ethnic group would be unacceptable and unjust in any other context.  Indian tribes aren’t bound to respect the Bill of Rights, so their court systems are suspect, particularly when putting non-Indian American citizens on trial under an alien (to them) system of justice.  And Indian tribes don’t have the money to pay for the expanded court systems and new jail capacity they would need to handle all the new cases.</w:t>
      </w:r>
    </w:p>
    <w:p w14:paraId="6C26AE30" w14:textId="39FAC2BF" w:rsidR="005820A1" w:rsidRDefault="005820A1" w:rsidP="00E24CEC">
      <w:pPr>
        <w:pStyle w:val="Contention1"/>
        <w:numPr>
          <w:ilvl w:val="0"/>
          <w:numId w:val="27"/>
        </w:numPr>
      </w:pPr>
      <w:bookmarkStart w:id="4" w:name="_Toc306096312"/>
      <w:r>
        <w:t>Runaway Jury:  The Case for Grand Jury Reform</w:t>
      </w:r>
      <w:bookmarkEnd w:id="4"/>
    </w:p>
    <w:p w14:paraId="22F55CED" w14:textId="6D0680A2" w:rsidR="005820A1" w:rsidRDefault="005820A1" w:rsidP="005820A1">
      <w:pPr>
        <w:pStyle w:val="Evidence"/>
      </w:pPr>
      <w:r>
        <w:t>William J. Campbell, a former federal judge in Chicago,</w:t>
      </w:r>
      <w:r w:rsidR="004C6758">
        <w:t xml:space="preserve"> said it best</w:t>
      </w:r>
      <w:r>
        <w:t>: “‘[</w:t>
      </w:r>
      <w:proofErr w:type="gramStart"/>
      <w:r>
        <w:t>t]he</w:t>
      </w:r>
      <w:proofErr w:type="gramEnd"/>
      <w:r>
        <w:t xml:space="preserve"> grand jury is the total captive of the prosecutor, who, if he is candid, will concede that he can indict anybody, at any time, for almost anything before any grand jury.’ ”  This case argues that federal grand juries, the use of which was a protection granted in the Bill of Rights, have morphed into an instrument of government abuse, rather than protection, of civil rights.</w:t>
      </w:r>
    </w:p>
    <w:p w14:paraId="2E57D41C" w14:textId="24EDACAD" w:rsidR="005820A1" w:rsidRDefault="005820A1" w:rsidP="005820A1">
      <w:pPr>
        <w:pStyle w:val="Evidence"/>
      </w:pPr>
      <w:r>
        <w:t>Federal grand juries hear from a prosecutor (only; no defense lawyers are allowed in the room) and take evidence designed to show that someone is likely to have committed a crime and should be put on trial.  The grand jury doesn’t make the finding of guilt or innocence, but the decision to recommend a trial, known as an indictment, is a powerful weapon used by prosecutors to coerce defendants into a guilty plea.  The grand jury process should uphold civil rights that defendants, innocent until proven guilty, should have.</w:t>
      </w:r>
    </w:p>
    <w:p w14:paraId="04ED76A8" w14:textId="6B6A2917" w:rsidR="005820A1" w:rsidRDefault="005820A1" w:rsidP="005820A1">
      <w:pPr>
        <w:pStyle w:val="Evidence"/>
      </w:pPr>
      <w:r>
        <w:lastRenderedPageBreak/>
        <w:t xml:space="preserve">First, as already mentioned, the only advocate in the room is the prosecutor.  Defense attorneys not only can’t advocate for the accused, they can’t even be in the room to provide counsel as testimony is taken and questions are asked.  </w:t>
      </w:r>
      <w:r w:rsidR="004C6758">
        <w:t xml:space="preserve">Second, defendants have no right to bring up exculpatory evidence, that is, evidence that would tend to prove </w:t>
      </w:r>
      <w:proofErr w:type="gramStart"/>
      <w:r w:rsidR="004C6758">
        <w:t>themselves</w:t>
      </w:r>
      <w:proofErr w:type="gramEnd"/>
      <w:r w:rsidR="004C6758">
        <w:t xml:space="preserve"> innocent.</w:t>
      </w:r>
      <w:r w:rsidR="0075657B">
        <w:t xml:space="preserve">  All the grand jury gets to hear is the prosecutor’s side of the story.  And prosecutors aren’t bound by the same rules of evidence quality that would be used at trial.  For example, they can bring in hearsay evidence that would never be allowed elsewhere.</w:t>
      </w:r>
    </w:p>
    <w:p w14:paraId="1656083B" w14:textId="77777777" w:rsidR="0075657B" w:rsidRDefault="0075657B" w:rsidP="005820A1">
      <w:pPr>
        <w:pStyle w:val="Evidence"/>
      </w:pPr>
      <w:r>
        <w:t>The “Smart on Crime Coalition,” a bipartisan and diverse group of legal experts from many different sides of the criminal justice system, published a list of 10 reforms that they urged Congress to pass.  These reforms would improve the grand jury system and better uphold Americans’ civil rights when they are called as either witnesses or defendants in a grand jury hearing.</w:t>
      </w:r>
    </w:p>
    <w:p w14:paraId="62B74366" w14:textId="2AF50523" w:rsidR="0075657B" w:rsidRDefault="0075657B" w:rsidP="005820A1">
      <w:pPr>
        <w:pStyle w:val="Evidence"/>
      </w:pPr>
      <w:r>
        <w:t xml:space="preserve"> Negatives will argue that grand juries aren’t broken, so they don’t need to be fixed.  Almost all grand jury indictments that go to trial result in convictions of the accused, so they must be doing something right.  Grand juries don’t decide guilt, so a lot of the so-called civil rights protections simply don’t apply in this context.  And the Status Quo has adequate safeguards to prevent runaway juries from running over anyone.</w:t>
      </w:r>
    </w:p>
    <w:p w14:paraId="51B36C6E" w14:textId="65F46AA0" w:rsidR="00934A35" w:rsidRDefault="007815A3" w:rsidP="00E24CEC">
      <w:pPr>
        <w:pStyle w:val="Contention1"/>
        <w:numPr>
          <w:ilvl w:val="0"/>
          <w:numId w:val="27"/>
        </w:numPr>
      </w:pPr>
      <w:bookmarkStart w:id="5" w:name="_Toc306096313"/>
      <w:r>
        <w:t>Deal With The Devil</w:t>
      </w:r>
      <w:r w:rsidR="00861172">
        <w:t xml:space="preserve">:  The Case for </w:t>
      </w:r>
      <w:r>
        <w:t>Abolishing Plea Bargaining</w:t>
      </w:r>
      <w:bookmarkEnd w:id="5"/>
    </w:p>
    <w:p w14:paraId="081AD022" w14:textId="77777777" w:rsidR="007815A3" w:rsidRDefault="007815A3" w:rsidP="007815A3">
      <w:pPr>
        <w:pStyle w:val="Evidence"/>
      </w:pPr>
      <w:r>
        <w:t xml:space="preserve">Law Professor Jennifer </w:t>
      </w:r>
      <w:proofErr w:type="spellStart"/>
      <w:r>
        <w:t>Mnookin</w:t>
      </w:r>
      <w:proofErr w:type="spellEnd"/>
      <w:r>
        <w:t xml:space="preserve"> summed up the status quo in 2005 when she said: “The proportion of criminal cases dispensed with through plea agreements is staggering. As Robert Scott and Bill </w:t>
      </w:r>
      <w:proofErr w:type="spellStart"/>
      <w:r>
        <w:t>Stuntz</w:t>
      </w:r>
      <w:proofErr w:type="spellEnd"/>
      <w:r>
        <w:t xml:space="preserve"> wrote some years ago, plea bargaining ‘is not some adjunct to the criminal justice system; it is the criminal justice system.’  This case argues that </w:t>
      </w:r>
      <w:proofErr w:type="gramStart"/>
      <w:r>
        <w:t>plea bargaining</w:t>
      </w:r>
      <w:proofErr w:type="gramEnd"/>
      <w:r>
        <w:t xml:space="preserve"> has hijacked and corrupted our system of justice and needs to stop.</w:t>
      </w:r>
    </w:p>
    <w:p w14:paraId="6AF2E1C0" w14:textId="18325981" w:rsidR="007815A3" w:rsidRDefault="007815A3" w:rsidP="007815A3">
      <w:pPr>
        <w:pStyle w:val="Evidence"/>
      </w:pPr>
      <w:r>
        <w:t xml:space="preserve">On TV you always see the prosecutor and defense attorney battling out the fate of the defendant in front of a judge and jury in the courtroom.  But in 96% of all federal cases, the defendant never has that day in court.  That's the proportion of cases that are resolved by guilty pleas, where the defendant agrees to waive his right to a trial in exchange for reduced charges and </w:t>
      </w:r>
      <w:r w:rsidR="00FE5D62">
        <w:t>lower punishment.  The prosecuto</w:t>
      </w:r>
      <w:r>
        <w:t xml:space="preserve">r wins because he never has to go to the trouble of proving his case beyond a reasonable doubt, and he can clear several cases in the time it would have taken to bring one case to trial.  The defendant wins because he doesn't have to take the risk of the big sentence he would get if </w:t>
      </w:r>
      <w:proofErr w:type="gramStart"/>
      <w:r>
        <w:t>he were found guilty by a jury</w:t>
      </w:r>
      <w:proofErr w:type="gramEnd"/>
      <w:r>
        <w:t xml:space="preserve"> and sentenced on the original charges.  It seems like everyone wins.</w:t>
      </w:r>
    </w:p>
    <w:p w14:paraId="5063AABD" w14:textId="77777777" w:rsidR="007815A3" w:rsidRDefault="007815A3" w:rsidP="007815A3">
      <w:pPr>
        <w:pStyle w:val="Evidence"/>
      </w:pPr>
      <w:r>
        <w:t>Unfortunately, the entire system is intended to circumvent the constitutional rights guaranteed to all the accused in this country.  Prosecutors don't want to be forced to prove someone guilty beyond reasonable doubt, where rules of evidence would require him to use only lawfully obtained materials to provide that proof.  Prosecutors may look at a case where there is weak evidence against the defendant (possibly because he's not really guilty) and make a decision what to do with it.  If they had to go to trial, they would drop the case.  But because they can plea bargain, they can threaten the possibly-innocent defendant with losing at trial and the resulting big prison sentence, hoping that he will take the deal for reduced charges under an immediate guilty plea.  Many innocent defendants, afraid of long sentences, will plead guilty under those circumstances.  In all cases, the plea bargaining process is a system of coercion where the defendant is threatened with more severe punishment if he exercises his constitutional rights.  It shouldn't be that way.</w:t>
      </w:r>
    </w:p>
    <w:p w14:paraId="1FF1FE50" w14:textId="67142B1A" w:rsidR="007815A3" w:rsidRDefault="007815A3" w:rsidP="007815A3">
      <w:pPr>
        <w:pStyle w:val="Evidence"/>
      </w:pPr>
      <w:r>
        <w:t xml:space="preserve">Many fear that a ban on </w:t>
      </w:r>
      <w:proofErr w:type="gramStart"/>
      <w:r>
        <w:t>plea bargaining</w:t>
      </w:r>
      <w:proofErr w:type="gramEnd"/>
      <w:r>
        <w:t xml:space="preserve"> would create a huge backlog, because those 96% of cases that are plea bargained today would all end up in court with trials, consuming huge court resources.  But such a ban would force prosecutors to only file charges they believe they could actually prove in court.  What would happen instead is that prosecutors would pick stronger cases and let the weak ones drop - the very ones where the defendant is more likely to be innocent.   Alaska tried a ban on </w:t>
      </w:r>
      <w:proofErr w:type="gramStart"/>
      <w:r>
        <w:t>plea bargaining</w:t>
      </w:r>
      <w:proofErr w:type="gramEnd"/>
      <w:r>
        <w:t xml:space="preserve"> in the late '80s-early '90s with good results.  Those same results could happen in the federal court system with this plan.</w:t>
      </w:r>
    </w:p>
    <w:p w14:paraId="5D60D690" w14:textId="612312EF" w:rsidR="007815A3" w:rsidRDefault="007815A3" w:rsidP="007815A3">
      <w:pPr>
        <w:pStyle w:val="Evidence"/>
      </w:pPr>
      <w:r>
        <w:lastRenderedPageBreak/>
        <w:t xml:space="preserve">Negatives will argue that the backlog will be inevitable, that there aren’t enough judges, courthouses, and attorneys to handle all the cases that would be generated.  Either the system would implode and stop working, or else </w:t>
      </w:r>
      <w:r w:rsidR="009A7959">
        <w:t xml:space="preserve">the prosecutors, </w:t>
      </w:r>
      <w:r>
        <w:t xml:space="preserve">defense attorneys and judges would find ways to circumvent the plea bargaining ban with some other way to induce defendants to plead guilty and avoid unnecessary trials.  And what’s so bad about that?  If a defendant wants to voluntarily plead guilty and receive a lighter sentence, why shouldn’t we let him do so?  Evidence from the Alaska experience may help support the Negative position, if analyzed carefully.  And some European countries, which had no history of </w:t>
      </w:r>
      <w:proofErr w:type="gramStart"/>
      <w:r>
        <w:t>plea bargaining</w:t>
      </w:r>
      <w:proofErr w:type="gramEnd"/>
      <w:r>
        <w:t>, are starting to turn to it to resolve clogged court systems.</w:t>
      </w:r>
    </w:p>
    <w:p w14:paraId="6EB1ECDE" w14:textId="77777777" w:rsidR="001D57FA" w:rsidRDefault="001D57FA" w:rsidP="00E24CEC">
      <w:pPr>
        <w:pStyle w:val="Contention1"/>
        <w:numPr>
          <w:ilvl w:val="0"/>
          <w:numId w:val="27"/>
        </w:numPr>
      </w:pPr>
      <w:bookmarkStart w:id="6" w:name="_Toc306096314"/>
      <w:r>
        <w:t>A Good Lawyer:  The Case for Legal Representation in Immigration Courts</w:t>
      </w:r>
      <w:bookmarkEnd w:id="6"/>
    </w:p>
    <w:p w14:paraId="3AD8E02F" w14:textId="77777777" w:rsidR="001D57FA" w:rsidRPr="00E53320" w:rsidRDefault="001D57FA" w:rsidP="001D57FA">
      <w:pPr>
        <w:pStyle w:val="Evidence"/>
        <w:rPr>
          <w:rFonts w:eastAsia="Times Roman" w:hAnsi="Times Roman" w:cs="Times Roman"/>
        </w:rPr>
      </w:pPr>
      <w:r w:rsidRPr="00E53320">
        <w:t xml:space="preserve">Supreme Court Justice Lewis Powell </w:t>
      </w:r>
      <w:proofErr w:type="spellStart"/>
      <w:r w:rsidRPr="00E53320">
        <w:t>Jr</w:t>
      </w:r>
      <w:proofErr w:type="spellEnd"/>
      <w:r w:rsidRPr="00E53320">
        <w:t xml:space="preserve"> said it best in 1976: “</w:t>
      </w:r>
      <w:r w:rsidRPr="00E53320">
        <w:rPr>
          <w:rFonts w:eastAsia="Arial Unicode MS"/>
        </w:rPr>
        <w:t xml:space="preserve">Equal justice under law is not merely a caption on the facade of the Supreme Court building, it is perhaps the most inspiring ideal of our society. It is one of the ends for which our entire legal system </w:t>
      </w:r>
      <w:proofErr w:type="gramStart"/>
      <w:r w:rsidRPr="00E53320">
        <w:rPr>
          <w:rFonts w:eastAsia="Arial Unicode MS"/>
        </w:rPr>
        <w:t>exists.</w:t>
      </w:r>
      <w:proofErr w:type="gramEnd"/>
      <w:r w:rsidRPr="00E53320">
        <w:rPr>
          <w:rFonts w:eastAsia="Arial Unicode MS"/>
        </w:rPr>
        <w:t xml:space="preserve"> . . it is fundamental that justice should be the same, in substance and availability, without regard to economic status.</w:t>
      </w:r>
      <w:r w:rsidRPr="00E53320">
        <w:t xml:space="preserve">” </w:t>
      </w:r>
      <w:r w:rsidRPr="00E53320">
        <w:rPr>
          <w:rFonts w:eastAsia="Arial Unicode MS"/>
        </w:rPr>
        <w:t xml:space="preserve"> </w:t>
      </w:r>
    </w:p>
    <w:p w14:paraId="2D1D3554" w14:textId="77777777" w:rsidR="001D57FA" w:rsidRDefault="001D57FA" w:rsidP="001D57FA">
      <w:pPr>
        <w:pStyle w:val="Evidence"/>
      </w:pPr>
      <w:r>
        <w:t xml:space="preserve">Although equal justice is a founding principle of our nation, many in America are not legally represented in court because of their economic status. You’ve probably heard dozens of times the “Miranda Warning” on all the TV cop shows, where the arresting officer tells the suspect he has the right to remain silent and that he has the right to an attorney, and if he cannot afford an attorney, one will be appointed without charge.   But what many don’t know is that the guarantee of an attorney doesn’t apply to thousands of court cases that take place every year.  That’s because immigrants arrested under suspicion of being unlawfully present in the U.S. in violation of immigration law are considered to be in a “civil” case, not a “criminal” one.  Thus, the promise of a free attorney does not exist for them.  </w:t>
      </w:r>
    </w:p>
    <w:p w14:paraId="5493B194" w14:textId="77777777" w:rsidR="001D57FA" w:rsidRDefault="001D57FA" w:rsidP="001D57FA">
      <w:pPr>
        <w:pStyle w:val="Evidence"/>
      </w:pPr>
      <w:r>
        <w:t xml:space="preserve">This leads to some </w:t>
      </w:r>
      <w:proofErr w:type="gramStart"/>
      <w:r>
        <w:t>tragic,</w:t>
      </w:r>
      <w:proofErr w:type="gramEnd"/>
      <w:r>
        <w:t xml:space="preserve"> some would say ridiculous, scenes in Immigration Court.  An 8-year-old boy, for example, who speaks only Spanish, standing before an Immigration Judge and a federal prosecutor in Immigration Court, with no attorney, is expected to explain what he is doing in the U.S. and under what legal rule he should be allowed to remain.  Maybe his family has been killed, or he was being tortured in his home nation.  We’ll never know because the Immigration Court will simply order him deported.  </w:t>
      </w:r>
    </w:p>
    <w:p w14:paraId="41106158" w14:textId="77777777" w:rsidR="001D57FA" w:rsidRDefault="001D57FA" w:rsidP="001D57FA">
      <w:pPr>
        <w:pStyle w:val="Evidence"/>
      </w:pPr>
      <w:r>
        <w:t xml:space="preserve">If that doesn’t bother you, how about this: Imagine you (presumably a U.S. citizen) were picked up with only the clothes on your back right now and arrested (erroneously) under suspicion of being an illegal immigrant.  You have no attorney and cannot afford one.  How would you go about proving to officials that you are a U.S. citizen?  A driver’s license wouldn’t prove it, nor would </w:t>
      </w:r>
      <w:proofErr w:type="gramStart"/>
      <w:r>
        <w:t>credit cards nor</w:t>
      </w:r>
      <w:proofErr w:type="gramEnd"/>
      <w:r>
        <w:t xml:space="preserve"> a gym membership card.  It’s not imaginary:  Thousands of US citizens over the years have been detained and some have even been deported because they couldn’t prove their innocence at an Immigration Court hearing.</w:t>
      </w:r>
    </w:p>
    <w:p w14:paraId="2C7339FF" w14:textId="77777777" w:rsidR="001D57FA" w:rsidRDefault="001D57FA" w:rsidP="001D57FA">
      <w:pPr>
        <w:pStyle w:val="Evidence"/>
      </w:pPr>
      <w:r>
        <w:t>Guaranteeing attorneys to all defendants in Immigration Court would ensure that immigrants get treated fairly under the law.  It would also safeguard US citizens from being wrongly deported.</w:t>
      </w:r>
    </w:p>
    <w:p w14:paraId="5B84BAFC" w14:textId="77777777" w:rsidR="001D57FA" w:rsidRDefault="001D57FA" w:rsidP="001D57FA">
      <w:pPr>
        <w:pStyle w:val="Evidence"/>
      </w:pPr>
      <w:r>
        <w:t xml:space="preserve">Negatives will argue that we ought to put US citizens’ needs above those of illegal immigrants.  Sad as these stories are, </w:t>
      </w:r>
      <w:proofErr w:type="gramStart"/>
      <w:r>
        <w:t>have</w:t>
      </w:r>
      <w:proofErr w:type="gramEnd"/>
      <w:r>
        <w:t xml:space="preserve"> you heard the stories of Americans losing their homes to foreclosure during the Great Recession? And every one of those taxpaying citizens had no guarantee of a free attorney. Many of them lost their homes in court proceedings where they had to appear by themselves with no understanding of the system that was taking their home away.  That’s because, like immigration, home foreclosures are a “civil” matter, not criminal.   “Taking away someone’s home” without an attorney sounds like a much greater problem than “sending someone home” without an attorney, and it’s an affront to American citizens that they must pay taxes to give illegal immigrants a benefit that they themselves are not eligible for.</w:t>
      </w:r>
    </w:p>
    <w:p w14:paraId="0E063D1A" w14:textId="77777777" w:rsidR="001D57FA" w:rsidRDefault="001D57FA" w:rsidP="001D57FA">
      <w:pPr>
        <w:pStyle w:val="Evidence"/>
      </w:pPr>
      <w:r>
        <w:t>Granting free attorneys will only attract more illegal immigrants, who will hear of the benefit and expect that it will increase their chances of getting to stay in the U.S. (which is probably true).  Increased illegal immigration will cause social problems and costs and be bad on balance for our country.</w:t>
      </w:r>
    </w:p>
    <w:p w14:paraId="07E1FD28" w14:textId="23218A31" w:rsidR="001D57FA" w:rsidRDefault="001D57FA" w:rsidP="00E24CEC">
      <w:pPr>
        <w:pStyle w:val="Contention1"/>
        <w:numPr>
          <w:ilvl w:val="0"/>
          <w:numId w:val="27"/>
        </w:numPr>
      </w:pPr>
      <w:bookmarkStart w:id="7" w:name="_Toc306096315"/>
      <w:r>
        <w:lastRenderedPageBreak/>
        <w:t>Retirement Plan:  The Case for Supreme Court Term Limits</w:t>
      </w:r>
      <w:bookmarkEnd w:id="7"/>
    </w:p>
    <w:p w14:paraId="11B48E77" w14:textId="69B6B774" w:rsidR="001D57FA" w:rsidRDefault="001D57FA" w:rsidP="001D57FA">
      <w:pPr>
        <w:pStyle w:val="Evidence"/>
      </w:pPr>
      <w:r>
        <w:t xml:space="preserve">The Constitution sets the term of Article III federal judges, including the Supreme Court, as a lifetime appointment.  They can only be forcibly removed if </w:t>
      </w:r>
      <w:proofErr w:type="gramStart"/>
      <w:r>
        <w:t>they are impeached by the House</w:t>
      </w:r>
      <w:proofErr w:type="gramEnd"/>
      <w:r>
        <w:t xml:space="preserve"> and convicted by the Senate for some serious misconduct.  That may have worked in the 1700s, when lifespans were shorter, but times have changed.</w:t>
      </w:r>
    </w:p>
    <w:p w14:paraId="717AB03A" w14:textId="2399D3BA" w:rsidR="00C802F9" w:rsidRDefault="001D57FA" w:rsidP="001D57FA">
      <w:pPr>
        <w:pStyle w:val="Evidence"/>
      </w:pPr>
      <w:r>
        <w:t xml:space="preserve">Some Supreme Court </w:t>
      </w:r>
      <w:r w:rsidR="00C802F9">
        <w:t>J</w:t>
      </w:r>
      <w:r>
        <w:t xml:space="preserve">ustices retire after some years on the bench and spend their sunset years writing books or giving speeches.  But many stay on the Court long past their prime, to the point that they can’t really function effectively due to old age and infirmity.  And the ones who do retire do so strategically – that is, they time their retirement to occur during the administration of a President of the same party, who will appoint a replacement of similar ideology to </w:t>
      </w:r>
      <w:proofErr w:type="gramStart"/>
      <w:r>
        <w:t>themselves</w:t>
      </w:r>
      <w:proofErr w:type="gramEnd"/>
      <w:r>
        <w:t>.</w:t>
      </w:r>
      <w:r w:rsidR="00C802F9">
        <w:t xml:space="preserve">  The Senate hearings and confirmation votes of the new replacement always turn into big partisan fights, as Presidents choose candidates based on ideology rather than competence or experience.</w:t>
      </w:r>
    </w:p>
    <w:p w14:paraId="49C19943" w14:textId="5F1329D6" w:rsidR="001D57FA" w:rsidRDefault="00C802F9" w:rsidP="001D57FA">
      <w:pPr>
        <w:pStyle w:val="Evidence"/>
      </w:pPr>
      <w:r>
        <w:t xml:space="preserve">These scenarios lead to poor decision-making and a polarized, divided, and disrespected Court.  We can do better:  the answer is a constitutional amendment implementing 18-year term limits on the Supreme Court.  The limits would be staggered for existing Justices such that a retirement would happen regularly every two years, meaning every President would be guaranteed a minimum of two Court appointments during his four-year term. Unexpected vacancies would be filled by Presidential appointment of an interim Justice who would serve out the remaining years of the departed Justice’s term.  </w:t>
      </w:r>
    </w:p>
    <w:p w14:paraId="75DE5D65" w14:textId="61E11A33" w:rsidR="001D57FA" w:rsidRDefault="00983723" w:rsidP="007815A3">
      <w:pPr>
        <w:pStyle w:val="Evidence"/>
      </w:pPr>
      <w:r>
        <w:t xml:space="preserve">Negatives will argue that more frequent Court nominations and Senate hearings will only aggravate the political tensions and extremism, not reduce it.  The Court needs lifetime appointments to ensure they are insulated from politics, and setting term limits will only drag the Justices further into the political games being played on Capitol Hill and the media.  </w:t>
      </w:r>
    </w:p>
    <w:p w14:paraId="5BC43E8F" w14:textId="42DD5830" w:rsidR="00C109F2" w:rsidRDefault="00C109F2" w:rsidP="00E24CEC">
      <w:pPr>
        <w:pStyle w:val="Contention1"/>
        <w:numPr>
          <w:ilvl w:val="0"/>
          <w:numId w:val="27"/>
        </w:numPr>
      </w:pPr>
      <w:bookmarkStart w:id="8" w:name="_Toc306096316"/>
      <w:r>
        <w:t>Despicable Me:  The Case for the Supreme Court Ethics Act</w:t>
      </w:r>
      <w:bookmarkEnd w:id="8"/>
    </w:p>
    <w:p w14:paraId="12A0EE29" w14:textId="74FC479B" w:rsidR="00C109F2" w:rsidRDefault="00C109F2" w:rsidP="00C109F2">
      <w:pPr>
        <w:pStyle w:val="Evidence"/>
      </w:pPr>
      <w:r>
        <w:t xml:space="preserve">There’s an ugly word for a man who sets high ethical standards for others and then refuses to follow them himself.  And I wonder what the word is for someone who insists that they should never be held to any standards at all?    One word might be “Justice of the Supreme Court.”  </w:t>
      </w:r>
    </w:p>
    <w:p w14:paraId="582A9754" w14:textId="1A17ED99" w:rsidR="00C109F2" w:rsidRDefault="00C109F2" w:rsidP="00C109F2">
      <w:pPr>
        <w:pStyle w:val="Evidence"/>
      </w:pPr>
      <w:r>
        <w:t>While there is a binding code of ethics that applies to federal judges in general, it is not binding upon the highest judges in the land, the Supreme Court.  And they certainly need one.  Various members of the Court, of all political persuasions (this is not a partisan attack just on liberal or conservative judges), have been spotted engaged in ethically questionable behavior in recent years.  This could be behavior that indicates a bias towards or promotion of some political lobbying group, participating in judgment of a case where a friend or family member is involved, or something as simple as announcing in advance how one will vote on an issue before the arguments are even made.</w:t>
      </w:r>
    </w:p>
    <w:p w14:paraId="244E69B4" w14:textId="77777777" w:rsidR="00C109F2" w:rsidRDefault="00C109F2" w:rsidP="00C109F2">
      <w:pPr>
        <w:pStyle w:val="Evidence"/>
      </w:pPr>
      <w:r>
        <w:t>Just the fact of refusing to have a code of ethics makes the Supreme Court suspect in the eyes of many.   What are they hiding?   This case passes a bill pending in Congress that mandates a code of ethics for the Supreme Court similar to the one currently applicable to the lower federal courts.</w:t>
      </w:r>
    </w:p>
    <w:p w14:paraId="69B237CA" w14:textId="7CED9F2D" w:rsidR="00C109F2" w:rsidRDefault="00C109F2" w:rsidP="00C109F2">
      <w:pPr>
        <w:pStyle w:val="Evidence"/>
      </w:pPr>
      <w:r>
        <w:t>Negatives will argue that a code of ethics would be of only minimal impact and merely symbolic.  Congress doesn’t have any business trying to regulate another branch of government.  And there’s really no problem to be solved:  the Court’s members are acting honorably and professionally; there’s no need to tarnish them with false accusations.</w:t>
      </w:r>
    </w:p>
    <w:p w14:paraId="148368AC" w14:textId="68CAE15C" w:rsidR="00DC115E" w:rsidRDefault="00DC115E" w:rsidP="00E24CEC">
      <w:pPr>
        <w:pStyle w:val="Contention1"/>
        <w:numPr>
          <w:ilvl w:val="0"/>
          <w:numId w:val="27"/>
        </w:numPr>
      </w:pPr>
      <w:bookmarkStart w:id="9" w:name="_Toc306096317"/>
      <w:r>
        <w:t>Officer and a Gentleman:  The Case for the Military Justice Improvement Act</w:t>
      </w:r>
      <w:bookmarkEnd w:id="9"/>
    </w:p>
    <w:p w14:paraId="10535AB1" w14:textId="1255096C" w:rsidR="00DC115E" w:rsidRDefault="00DC115E" w:rsidP="00DC115E">
      <w:pPr>
        <w:pStyle w:val="Evidence"/>
      </w:pPr>
      <w:r>
        <w:t>Military courts are a part of the federal government that you may not have thought of when analyzing this resolution.  A big issue under discussion in today’s military is getting justice for service members who are victimized by sexual assault.  It happens far more often in the military than we want to admit, and Status Quo military court procedures are inadequate for dealing with it.</w:t>
      </w:r>
    </w:p>
    <w:p w14:paraId="05546937" w14:textId="2E55BB63" w:rsidR="00DC115E" w:rsidRDefault="00DC115E" w:rsidP="00DC115E">
      <w:pPr>
        <w:pStyle w:val="Evidence"/>
      </w:pPr>
      <w:r>
        <w:lastRenderedPageBreak/>
        <w:t>In the Status Quo, the commanding officer of the accused decides whether the situation warrants a criminal prosecution in the military court system.  But he may be a friend of the accused, or he may be afraid of the political ramifications of the case.  He may just not understand or take seriously the crime, or he may lack the legal training to understand what’s really going on.  In any case, the result is that many crimes either go unprosecuted because the commanders don’t file charges, or unreported because victims have no confidence that the system will treat their complaint fairly.</w:t>
      </w:r>
    </w:p>
    <w:p w14:paraId="7DF80145" w14:textId="4DB9DE9A" w:rsidR="00DC115E" w:rsidRDefault="00DC115E" w:rsidP="00DC115E">
      <w:pPr>
        <w:pStyle w:val="Evidence"/>
      </w:pPr>
      <w:r>
        <w:t>This plan solves for these problems by passing the Military Justice Improvement Act, a bill currently pending in Congress.   MJIA would take the decision to prosecute sexual assault cases out of the hands of commanders and move it to trained members of the military’s legal department.  Militaries in other nations, like Israel, Canada, Britain, and Australia have done the same thing and it has worked well.</w:t>
      </w:r>
    </w:p>
    <w:p w14:paraId="2A3107BC" w14:textId="5346A596" w:rsidR="00DC115E" w:rsidRDefault="00DC115E" w:rsidP="00DC115E">
      <w:pPr>
        <w:pStyle w:val="Evidence"/>
      </w:pPr>
      <w:r>
        <w:t>Negatives will argue that the process actually hasn’t improved anything in other countries.  In fact, this reform will break down order and discipline in the military by removing needed authority from commanders to properly direct their subordinates.   Commanders are perfectly capable of discerning when sexual assault charges are appropriate and are in fact handling them quite well in the Status Quo.  In fact, removing their jurisdiction might even result in fewer cases, not more, going to trial, since the lawyers might be more reluctant than commanders to file some cases.</w:t>
      </w:r>
    </w:p>
    <w:p w14:paraId="1783A078" w14:textId="7F254058" w:rsidR="001563F9" w:rsidRDefault="001563F9" w:rsidP="00E24CEC">
      <w:pPr>
        <w:pStyle w:val="Contention1"/>
        <w:numPr>
          <w:ilvl w:val="0"/>
          <w:numId w:val="27"/>
        </w:numPr>
      </w:pPr>
      <w:bookmarkStart w:id="10" w:name="_Toc306096318"/>
      <w:r>
        <w:t>Trials and Tribulations: The Case for Abolishing Diversity Jurisdiction</w:t>
      </w:r>
      <w:bookmarkEnd w:id="10"/>
    </w:p>
    <w:p w14:paraId="298F726B" w14:textId="52DB5D0B" w:rsidR="001563F9" w:rsidRDefault="001563F9" w:rsidP="001563F9">
      <w:pPr>
        <w:pStyle w:val="Evidence"/>
      </w:pPr>
      <w:r>
        <w:t>Duke University Law Professor Marvin K. Levy explained the problem in 2014, saying: “When recently asked what he thought was one of the greatest problems plaguing the federal judiciary, Supreme Court Justice Samuel Alito responded by saying the “crushing” workload faced by his former colleagues on the courts of appeals.”</w:t>
      </w:r>
      <w:r>
        <w:rPr>
          <w:lang w:eastAsia="en-US"/>
        </w:rPr>
        <w:t xml:space="preserve"> </w:t>
      </w:r>
      <w:r>
        <w:t xml:space="preserve">About 80% of federal court cases are civil cases (lawsuits for damages). That’s not a problem in itself – the real problem is that 35% of those federal civil cases shouldn’t be in federal court at </w:t>
      </w:r>
      <w:proofErr w:type="gramStart"/>
      <w:r>
        <w:t>all,</w:t>
      </w:r>
      <w:proofErr w:type="gramEnd"/>
      <w:r>
        <w:t xml:space="preserve"> they should be tried in state courts.     </w:t>
      </w:r>
    </w:p>
    <w:p w14:paraId="1F78D0AB" w14:textId="77777777" w:rsidR="001563F9" w:rsidRDefault="001563F9" w:rsidP="001563F9">
      <w:pPr>
        <w:pStyle w:val="Evidence"/>
      </w:pPr>
      <w:r>
        <w:t>The reason those cases ended up in federal, as opposed to state, courts is because of the rule of “diversity jurisdiction.”  This rule is based on a provision in the Constitution that says federal courts have the authority to hear cases arising from disputes between parties of different states.  After all, in the 1700s, citizens of the various states could have been rightly suspicious that a lawsuit brought in the court of a “foreign” state would be biased towards the citizen of that state.  Federal court provided a neutral and fair setting for such lawsuits and a greater assurance that justice would be done.</w:t>
      </w:r>
    </w:p>
    <w:p w14:paraId="0FF67332" w14:textId="77777777" w:rsidR="00323AD9" w:rsidRDefault="0003557A" w:rsidP="001563F9">
      <w:pPr>
        <w:pStyle w:val="Evidence"/>
      </w:pPr>
      <w:r>
        <w:t xml:space="preserve">One example of a “diversity” case today would be a bus company who hires a driver in Georgia to take a group of Georgia residents on a tour in Florida.  During the tour, the bus crashes into a car owned by a local Florida resident, causing serious damage and injuries to the Florida man and his family.  The Florida man would likely sue the Georgia bus company for damages in federal court under the “diversity jurisdiction” rule.  </w:t>
      </w:r>
    </w:p>
    <w:p w14:paraId="3798EF3A" w14:textId="4DB4821D" w:rsidR="00323AD9" w:rsidRDefault="0003557A" w:rsidP="001563F9">
      <w:pPr>
        <w:pStyle w:val="Evidence"/>
      </w:pPr>
      <w:r>
        <w:t xml:space="preserve">However, </w:t>
      </w:r>
      <w:r w:rsidR="00323AD9">
        <w:t>imagine if he believes he would be more likely to win in Florida state court.  In that case, all he has to do to get the case moved out of federal court is to name one person in the lawsuit who lives in Florida. Perhaps he adds the name of the telephone operator in Florida who works for the bus company and who booked some people on the tour.</w:t>
      </w:r>
      <w:r>
        <w:t xml:space="preserve"> </w:t>
      </w:r>
      <w:r w:rsidR="00323AD9">
        <w:t xml:space="preserve">  She had nothing to do with the crash, but by naming her in the suit, now there is no “diversity” because one of the defendants (person being sued) is from the same state as the plaintiff</w:t>
      </w:r>
      <w:r>
        <w:t xml:space="preserve"> </w:t>
      </w:r>
      <w:r w:rsidR="00323AD9">
        <w:t>(person who was harmed and is suing), so the case is no longer eligible for federal court.   In this case, the rule of diversity has created an incentive to unfairly harass an uninvolved party in the suit.</w:t>
      </w:r>
      <w:r>
        <w:t xml:space="preserve"> </w:t>
      </w:r>
    </w:p>
    <w:p w14:paraId="212540C8" w14:textId="471E82AC" w:rsidR="001563F9" w:rsidRDefault="00323AD9" w:rsidP="001563F9">
      <w:pPr>
        <w:pStyle w:val="Evidence"/>
      </w:pPr>
      <w:r>
        <w:t xml:space="preserve">On the other hand, supposed this accident case proceeds to federal court, as many such “diversity” cases do (over 100,000 such cases per year go to federal court).  </w:t>
      </w:r>
      <w:r w:rsidR="0003557A">
        <w:t xml:space="preserve"> </w:t>
      </w:r>
      <w:r w:rsidR="001563F9">
        <w:t xml:space="preserve"> </w:t>
      </w:r>
      <w:r>
        <w:t>Now we have the absurd spectacle of a federal court trying to figure out how to apply Florida state law to an accident that occurred in the state of Florida.  Absurd, because that’s not the job of federal courts, it’s the job of Florida state courts, which are much better qualified to do it.  And now the workload of federal courts has been unnecessarily increased because they are taking on work that should have been done at the state level.</w:t>
      </w:r>
    </w:p>
    <w:p w14:paraId="2D6CEAEA" w14:textId="6B17BCA0" w:rsidR="001C56B2" w:rsidRDefault="001C56B2" w:rsidP="001563F9">
      <w:pPr>
        <w:pStyle w:val="Evidence"/>
      </w:pPr>
      <w:r>
        <w:lastRenderedPageBreak/>
        <w:t xml:space="preserve">Congress has tried to reduce the </w:t>
      </w:r>
      <w:r w:rsidR="00055C8E">
        <w:t>federal diversity caseload by se</w:t>
      </w:r>
      <w:r>
        <w:t xml:space="preserve">tting a minimum dollar value threshold before such a case can be taken to federal court.  For example, if the crash had caused only a scrape to the Florida man’s bumper, </w:t>
      </w:r>
      <w:r w:rsidR="00055C8E">
        <w:t>and he is suing for</w:t>
      </w:r>
      <w:r>
        <w:t xml:space="preserve"> $200 in damages, he would have been prohibited from using federal courts in that case.</w:t>
      </w:r>
      <w:r w:rsidR="00055C8E">
        <w:t xml:space="preserve">  But the damage threshold has not been effective at stopping the rising tide of diversity cases in the last decade.</w:t>
      </w:r>
    </w:p>
    <w:p w14:paraId="4400BB21" w14:textId="7CEDA7AC" w:rsidR="00055C8E" w:rsidRDefault="00055C8E" w:rsidP="001563F9">
      <w:pPr>
        <w:pStyle w:val="Evidence"/>
      </w:pPr>
      <w:r>
        <w:t>Numerous legal experts, including the late Supreme Court Chief Justice William Rehnquist and other federal judges going back many decades, have advocated simply abolishing diversity jurisdiction.  Let states settle lawsuits that happen in their own state and get the federal government out of that business altogether.  It’s not the 1700s any more, and state courts are not going to automatically decide in favor of their local citizens in disputes.  This would take huge pressure off the federal court caseload and provide a better forum for settling issues under state law.</w:t>
      </w:r>
    </w:p>
    <w:p w14:paraId="6DCEA8C3" w14:textId="7B3A6A2C" w:rsidR="00055C8E" w:rsidRDefault="00676A0C" w:rsidP="001563F9">
      <w:pPr>
        <w:pStyle w:val="Evidence"/>
        <w:rPr>
          <w:lang w:eastAsia="en-US"/>
        </w:rPr>
      </w:pPr>
      <w:r>
        <w:rPr>
          <w:lang w:eastAsia="en-US"/>
        </w:rPr>
        <w:t xml:space="preserve">Negatives will argue that tampering with the Founders’ designs is bad, and that diversity jurisdiction exists for a good reason.  The real root cause of the problem is the Senate’s failure to confirm Presidential nomination of federal judges at a decent pace, leaving federal judgeships vacant and the excess workload crushing the remaining judges.  </w:t>
      </w:r>
      <w:r w:rsidR="00F23EB8">
        <w:rPr>
          <w:lang w:eastAsia="en-US"/>
        </w:rPr>
        <w:t>Sending big lawsuits back to state courts would be bad because state courts are often biased.  And state courts are not staffed or funded to receive the sudden overflow of cases that would come their way the day after diversity jurisdiction is abolished.</w:t>
      </w:r>
    </w:p>
    <w:p w14:paraId="7A1368D7" w14:textId="1C209D53" w:rsidR="00632805" w:rsidRDefault="00387380" w:rsidP="00E24CEC">
      <w:pPr>
        <w:pStyle w:val="Contention1"/>
        <w:numPr>
          <w:ilvl w:val="0"/>
          <w:numId w:val="27"/>
        </w:numPr>
      </w:pPr>
      <w:bookmarkStart w:id="11" w:name="_Toc306096319"/>
      <w:r>
        <w:t>Location, Location, Location</w:t>
      </w:r>
      <w:r w:rsidR="00056E98">
        <w:t xml:space="preserve">:  The Case for </w:t>
      </w:r>
      <w:r>
        <w:t>the Bankruptcy Venue Reform Act</w:t>
      </w:r>
      <w:bookmarkEnd w:id="11"/>
    </w:p>
    <w:p w14:paraId="6ACA1A3D" w14:textId="312E5B35" w:rsidR="00387380" w:rsidRDefault="00757577" w:rsidP="00056E98">
      <w:pPr>
        <w:pStyle w:val="Evidence"/>
      </w:pPr>
      <w:r>
        <w:t xml:space="preserve">True story:  </w:t>
      </w:r>
      <w:r w:rsidR="00387380">
        <w:t>A corporation in Dallas, Texas, falls upon hard times and considers bankruptcy.  Most of its employees and creditors live in Texas. Its headquarters building is only a 10-minute walk from the Dallas federal bankruptcy court.  Yet they file for bankruptcy, of all places, at a federal court in Delaware.  Why would they do that?</w:t>
      </w:r>
    </w:p>
    <w:p w14:paraId="3469A3BA" w14:textId="5A6DCACE" w:rsidR="00387380" w:rsidRDefault="00387380" w:rsidP="00056E98">
      <w:pPr>
        <w:pStyle w:val="Evidence"/>
      </w:pPr>
      <w:proofErr w:type="gramStart"/>
      <w:r>
        <w:t>First, because they can.</w:t>
      </w:r>
      <w:proofErr w:type="gramEnd"/>
      <w:r>
        <w:t xml:space="preserve"> Under Article I of the Constitution, </w:t>
      </w:r>
      <w:proofErr w:type="gramStart"/>
      <w:r>
        <w:t>bankruptcy law is controlled by the federal government</w:t>
      </w:r>
      <w:proofErr w:type="gramEnd"/>
      <w:r>
        <w:t xml:space="preserve">, so bankruptcy cases are handled in accordance with Congressional legislation.  Federal bankruptcy law </w:t>
      </w:r>
      <w:r w:rsidR="00F97B46">
        <w:t xml:space="preserve">currently </w:t>
      </w:r>
      <w:r>
        <w:t>allows a</w:t>
      </w:r>
      <w:r w:rsidR="00F97B46">
        <w:t xml:space="preserve"> troubled</w:t>
      </w:r>
      <w:r>
        <w:t xml:space="preserve"> corporation to fi</w:t>
      </w:r>
      <w:r w:rsidR="00F97B46">
        <w:t xml:space="preserve">le for bankruptcy in federal bankruptcy court in any state where it has substantial business operations, its headquarters, where one of its affiliated corporate entities has </w:t>
      </w:r>
      <w:r w:rsidR="00757577">
        <w:t xml:space="preserve">already </w:t>
      </w:r>
      <w:r w:rsidR="00F97B46">
        <w:t>filed for bankruptcy, or the state where it officially was incorporated (even if it does little or no business there).  A very large percentage of corporations choose to incorporate in Delaware (for obscure legal and financial reasons), even if they have no intention of doing business there.</w:t>
      </w:r>
    </w:p>
    <w:p w14:paraId="43001D89" w14:textId="30CB4006" w:rsidR="00F97B46" w:rsidRDefault="00F97B46" w:rsidP="00056E98">
      <w:pPr>
        <w:pStyle w:val="Evidence"/>
      </w:pPr>
      <w:r>
        <w:t>An unexpectedly large percentage of bankruptcy filings (larger than would be explained by where companies are headquartered) take place in the federal bankruptcy courts in either Delaware or the Southern District of New York (i.e. Manhattan).    These two courts have become “magnets” attracting cases from all over the country.  This case argues that this is unjust and harmful.</w:t>
      </w:r>
    </w:p>
    <w:p w14:paraId="00113FDA" w14:textId="19F2EC36" w:rsidR="00F97B46" w:rsidRDefault="00F97B46" w:rsidP="00056E98">
      <w:pPr>
        <w:pStyle w:val="Evidence"/>
      </w:pPr>
      <w:r>
        <w:t xml:space="preserve">First, it harms the creditors who need to get paid or at least need to be heard during the bankruptcy proceedings.  If you are in Texas and the company who owes you money is in the same town in Texas, why should you have to keep buying plane tickets to Delaware to tell the court about the money </w:t>
      </w:r>
      <w:r w:rsidR="00757577">
        <w:t>they owe</w:t>
      </w:r>
      <w:r>
        <w:t xml:space="preserve"> you?  At some point, the travel cost exceeds the debt and you give up.</w:t>
      </w:r>
      <w:r w:rsidR="009A7959">
        <w:t xml:space="preserve">  Maybe that’s what the debtor company was hoping you would do, and maybe that’s why they filed in Delaware, where you couldn’t reach them.</w:t>
      </w:r>
    </w:p>
    <w:p w14:paraId="4D29E3B4" w14:textId="3B998C28" w:rsidR="00BE488B" w:rsidRDefault="00BE488B" w:rsidP="00056E98">
      <w:pPr>
        <w:pStyle w:val="Evidence"/>
      </w:pPr>
      <w:r>
        <w:t>Second, the Delaware and New York courts, because they are magnets for debtors, tend to “go easy” on the debtors and allow them to continue mismanaging their companies, rather than getting tough and imposing reforms.  Chapter 11 bankruptcies are supposed to provide a company with an opportunity to reform and reorganize and get back to profitability.   But the track record of bankruptcy cases handled by the “magnet” courts shows higher rates of failure than those in other districts.</w:t>
      </w:r>
    </w:p>
    <w:p w14:paraId="286B68A0" w14:textId="4BB9C1D1" w:rsidR="00BE488B" w:rsidRDefault="00757577" w:rsidP="00056E98">
      <w:pPr>
        <w:pStyle w:val="Evidence"/>
      </w:pPr>
      <w:r>
        <w:t>This plan enacts the Bankruptcy Venue Reform Act, a bill that was introduced in Congress a few years ago but never passed.  It removes “place of incorporation” as a venue for bankruptcy court filing, thus requiring corporations to file near their headquarters or where they have substantial business assets and presence.</w:t>
      </w:r>
    </w:p>
    <w:p w14:paraId="38047687" w14:textId="4947B94F" w:rsidR="00056E98" w:rsidRDefault="00056E98" w:rsidP="00056E98">
      <w:pPr>
        <w:pStyle w:val="Evidence"/>
      </w:pPr>
      <w:r>
        <w:lastRenderedPageBreak/>
        <w:t>Nega</w:t>
      </w:r>
      <w:r w:rsidR="00387380">
        <w:t xml:space="preserve">tives will argue that </w:t>
      </w:r>
      <w:r w:rsidR="00757577">
        <w:t>“magnet courts” are a good thing, not a bad thing.  The Delaware and N.Y. courts have handled so many bankruptcy cases that they have developed a reputation for managing them quickly and efficiently.  In fact, this reputation for speed and efficiency is what draws so many cases, not the evil motives assumed by the Affirmative.</w:t>
      </w:r>
    </w:p>
    <w:p w14:paraId="173E3A1A" w14:textId="2BDC1924" w:rsidR="00757577" w:rsidRDefault="00757577" w:rsidP="00056E98">
      <w:pPr>
        <w:pStyle w:val="Evidence"/>
      </w:pPr>
      <w:r>
        <w:t>Removing the state of incorporation as a venue for bankruptcy court jurisdiction would slow things down and also create needless litigation, as lawyers fight over where a business has substantial assets or operations.  In the digital and globalized world, many companies are widely dispersed, and nailing down one location versus another could be a long legal battle.  The delays would be costly for all involved.</w:t>
      </w:r>
    </w:p>
    <w:p w14:paraId="7E4AE4E0" w14:textId="64D928DC" w:rsidR="00E0401C" w:rsidRDefault="008458C8" w:rsidP="00E24CEC">
      <w:pPr>
        <w:pStyle w:val="Contention1"/>
        <w:numPr>
          <w:ilvl w:val="0"/>
          <w:numId w:val="27"/>
        </w:numPr>
      </w:pPr>
      <w:bookmarkStart w:id="12" w:name="_Toc306096320"/>
      <w:r>
        <w:t>Here’s Looking At You: The Case for Courtroom Cameras</w:t>
      </w:r>
      <w:bookmarkEnd w:id="12"/>
    </w:p>
    <w:p w14:paraId="43F338DC" w14:textId="01C905AC" w:rsidR="008458C8" w:rsidRDefault="008458C8" w:rsidP="008458C8">
      <w:pPr>
        <w:pStyle w:val="Evidence"/>
      </w:pPr>
      <w:r w:rsidRPr="00A33BE4">
        <w:t xml:space="preserve">Boston journalist David </w:t>
      </w:r>
      <w:proofErr w:type="spellStart"/>
      <w:r w:rsidRPr="00A33BE4">
        <w:t>Boeri</w:t>
      </w:r>
      <w:proofErr w:type="spellEnd"/>
      <w:r w:rsidRPr="00A33BE4">
        <w:t xml:space="preserve"> said it best in 2014: “One of the oldest principles of American law is that justice must be seen to be done. </w:t>
      </w:r>
      <w:hyperlink r:id="rId10" w:history="1">
        <w:r w:rsidRPr="00A33BE4">
          <w:t>According to the U.S. Supreme Court</w:t>
        </w:r>
      </w:hyperlink>
      <w:r w:rsidRPr="00A33BE4">
        <w:t>, “justice must satisfy the appearance of justice</w:t>
      </w:r>
      <w:r>
        <w:t xml:space="preserve">.”  Current policies deny this basic principle of justice by banning the presence of video cameras in US federal courts, including the Supreme Court.  </w:t>
      </w:r>
    </w:p>
    <w:p w14:paraId="325BAB57" w14:textId="4E5C8C93" w:rsidR="008458C8" w:rsidRDefault="00671CB9" w:rsidP="008458C8">
      <w:pPr>
        <w:pStyle w:val="Evidence"/>
      </w:pPr>
      <w:r>
        <w:t xml:space="preserve">This case argues that allowing video of federal courts, including the Supreme Court, would be a fantastic educational experience for American citizens.  And after all, regardless of educational value, Americans have a right to know what goes on in the courthouses that their taxes paid for.  Meanwhile, we could increase the accountability and transparency that make democracy work.  </w:t>
      </w:r>
    </w:p>
    <w:p w14:paraId="1F8744C8" w14:textId="50F59141" w:rsidR="00671CB9" w:rsidRPr="00861172" w:rsidRDefault="00671CB9" w:rsidP="008458C8">
      <w:pPr>
        <w:pStyle w:val="Evidence"/>
      </w:pPr>
      <w:r>
        <w:t xml:space="preserve">Negatives will argue that cameras will be a distraction that will degrade the administration of justice. Look at the circus of the O.J. Simpson trial and the games those lawyers played before the cameras and imagine what federal courts will look like when we let that happen there.  And imagine the security risk if the friends of the “bad guys” who are on trial get a good look at the names and faces of the witnesses who testified.  </w:t>
      </w:r>
    </w:p>
    <w:sectPr w:rsidR="00671CB9" w:rsidRPr="00861172" w:rsidSect="00F04C23">
      <w:head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40D6C8" w14:textId="77777777" w:rsidR="002A0B27" w:rsidRDefault="002A0B27" w:rsidP="001D5FD6">
      <w:pPr>
        <w:spacing w:after="0" w:line="240" w:lineRule="auto"/>
      </w:pPr>
      <w:r>
        <w:separator/>
      </w:r>
    </w:p>
  </w:endnote>
  <w:endnote w:type="continuationSeparator" w:id="0">
    <w:p w14:paraId="032A0293" w14:textId="77777777" w:rsidR="002A0B27" w:rsidRDefault="002A0B2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entury Gothic">
    <w:panose1 w:val="020B0502020202020204"/>
    <w:charset w:val="00"/>
    <w:family w:val="auto"/>
    <w:pitch w:val="variable"/>
    <w:sig w:usb0="00000003" w:usb1="00000000" w:usb2="00000000" w:usb3="00000000" w:csb0="00000001" w:csb1="00000000"/>
  </w:font>
  <w:font w:name="AGaramond">
    <w:altName w:val="AGaramond"/>
    <w:panose1 w:val="00000000000000000000"/>
    <w:charset w:val="00"/>
    <w:family w:val="roman"/>
    <w:notTrueType/>
    <w:pitch w:val="default"/>
    <w:sig w:usb0="00000003" w:usb1="00000000" w:usb2="00000000" w:usb3="00000000" w:csb0="00000001" w:csb1="00000000"/>
  </w:font>
  <w:font w:name="Minion Pro">
    <w:altName w:val="Minion Pro"/>
    <w:panose1 w:val="00000000000000000000"/>
    <w:charset w:val="00"/>
    <w:family w:val="roman"/>
    <w:notTrueType/>
    <w:pitch w:val="default"/>
    <w:sig w:usb0="00000003" w:usb1="00000000" w:usb2="00000000" w:usb3="00000000" w:csb0="00000001" w:csb1="00000000"/>
  </w:font>
  <w:font w:name="Myriad Pro">
    <w:altName w:val="Myriad Pro"/>
    <w:panose1 w:val="00000000000000000000"/>
    <w:charset w:val="00"/>
    <w:family w:val="swiss"/>
    <w:notTrueType/>
    <w:pitch w:val="default"/>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imes Roman">
    <w:altName w:val="Times New Roman"/>
    <w:charset w:val="00"/>
    <w:family w:val="roman"/>
    <w:pitch w:val="default"/>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07FE7" w14:textId="4B77D33D" w:rsidR="006127A3" w:rsidRDefault="006127A3" w:rsidP="00F475C5">
    <w:pPr>
      <w:pStyle w:val="Footer"/>
      <w:tabs>
        <w:tab w:val="clear" w:pos="4320"/>
        <w:tab w:val="clear" w:pos="8640"/>
        <w:tab w:val="center" w:pos="4680"/>
        <w:tab w:val="right" w:pos="9360"/>
      </w:tabs>
    </w:pPr>
    <w:r w:rsidRPr="0018486A">
      <w:rPr>
        <w:sz w:val="18"/>
        <w:szCs w:val="18"/>
      </w:rPr>
      <w:t>201</w:t>
    </w:r>
    <w:r>
      <w:rPr>
        <w:sz w:val="18"/>
        <w:szCs w:val="18"/>
      </w:rPr>
      <w:t>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E52773">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E52773">
      <w:rPr>
        <w:noProof/>
        <w:sz w:val="24"/>
        <w:szCs w:val="24"/>
      </w:rPr>
      <w:t>9</w:t>
    </w:r>
    <w:r w:rsidRPr="0018486A">
      <w:rPr>
        <w:b w:val="0"/>
        <w:sz w:val="24"/>
        <w:szCs w:val="24"/>
      </w:rPr>
      <w:fldChar w:fldCharType="end"/>
    </w:r>
    <w:r>
      <w:tab/>
    </w:r>
    <w:r w:rsidRPr="0018486A">
      <w:rPr>
        <w:sz w:val="18"/>
        <w:szCs w:val="18"/>
      </w:rPr>
      <w:t xml:space="preserve"> </w:t>
    </w:r>
    <w:r w:rsidR="004C6758">
      <w:rPr>
        <w:sz w:val="18"/>
        <w:szCs w:val="18"/>
      </w:rPr>
      <w:t>Published 10</w:t>
    </w:r>
    <w:r>
      <w:rPr>
        <w:sz w:val="18"/>
        <w:szCs w:val="18"/>
      </w:rPr>
      <w:t>/</w:t>
    </w:r>
    <w:r w:rsidR="004C6758">
      <w:rPr>
        <w:sz w:val="18"/>
        <w:szCs w:val="18"/>
      </w:rPr>
      <w:t>11</w:t>
    </w:r>
    <w:r>
      <w:rPr>
        <w:sz w:val="18"/>
        <w:szCs w:val="18"/>
      </w:rPr>
      <w:t>/15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B5C11" w14:textId="77777777" w:rsidR="002A0B27" w:rsidRDefault="002A0B27" w:rsidP="001D5FD6">
      <w:pPr>
        <w:spacing w:after="0" w:line="240" w:lineRule="auto"/>
      </w:pPr>
      <w:r>
        <w:separator/>
      </w:r>
    </w:p>
  </w:footnote>
  <w:footnote w:type="continuationSeparator" w:id="0">
    <w:p w14:paraId="655F71A6" w14:textId="77777777" w:rsidR="002A0B27" w:rsidRDefault="002A0B2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1ACBD" w14:textId="7A1F8200" w:rsidR="006127A3" w:rsidRDefault="00A801C0" w:rsidP="00934A35">
    <w:pPr>
      <w:pStyle w:val="Footer"/>
    </w:pPr>
    <w:r>
      <w:t xml:space="preserve">2015 </w:t>
    </w:r>
    <w:r w:rsidR="007815A3">
      <w:t>NCFCA</w:t>
    </w:r>
    <w:r>
      <w:t xml:space="preserve"> BLUE BOOK – CASE SUMMARIES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D1CE26" w14:textId="40680B08" w:rsidR="006127A3" w:rsidRPr="00F04C23" w:rsidRDefault="00A801C0" w:rsidP="00F04C23">
    <w:pPr>
      <w:pStyle w:val="Footer"/>
      <w:tabs>
        <w:tab w:val="clear" w:pos="4320"/>
        <w:tab w:val="clear" w:pos="8640"/>
        <w:tab w:val="center" w:pos="4680"/>
        <w:tab w:val="right" w:pos="9360"/>
      </w:tabs>
      <w:rPr>
        <w:b w:val="0"/>
        <w:smallCaps w:val="0"/>
      </w:rPr>
    </w:pPr>
    <w:r>
      <w:t>2015 STOA BLUE BOOK – CASE SUMMARIES</w:t>
    </w:r>
    <w:r w:rsidR="006127A3">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FD4347D"/>
    <w:multiLevelType w:val="multilevel"/>
    <w:tmpl w:val="99D04A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34555860"/>
    <w:multiLevelType w:val="multilevel"/>
    <w:tmpl w:val="3EE41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4BF1615"/>
    <w:multiLevelType w:val="hybridMultilevel"/>
    <w:tmpl w:val="8C7CD8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nsid w:val="5C7719E0"/>
    <w:multiLevelType w:val="multilevel"/>
    <w:tmpl w:val="B5B2E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2"/>
  </w:num>
  <w:num w:numId="3">
    <w:abstractNumId w:val="11"/>
  </w:num>
  <w:num w:numId="4">
    <w:abstractNumId w:val="16"/>
  </w:num>
  <w:num w:numId="5">
    <w:abstractNumId w:val="25"/>
  </w:num>
  <w:num w:numId="6">
    <w:abstractNumId w:val="13"/>
  </w:num>
  <w:num w:numId="7">
    <w:abstractNumId w:val="26"/>
  </w:num>
  <w:num w:numId="8">
    <w:abstractNumId w:val="2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20"/>
  </w:num>
  <w:num w:numId="21">
    <w:abstractNumId w:val="15"/>
  </w:num>
  <w:num w:numId="22">
    <w:abstractNumId w:val="10"/>
  </w:num>
  <w:num w:numId="23">
    <w:abstractNumId w:val="12"/>
  </w:num>
  <w:num w:numId="24">
    <w:abstractNumId w:val="14"/>
  </w:num>
  <w:num w:numId="25">
    <w:abstractNumId w:val="17"/>
  </w:num>
  <w:num w:numId="26">
    <w:abstractNumId w:val="2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0721C"/>
    <w:rsid w:val="00011E93"/>
    <w:rsid w:val="0003557A"/>
    <w:rsid w:val="000420C7"/>
    <w:rsid w:val="00042BFA"/>
    <w:rsid w:val="000519FE"/>
    <w:rsid w:val="000558BB"/>
    <w:rsid w:val="00055C8E"/>
    <w:rsid w:val="00056E98"/>
    <w:rsid w:val="00060D86"/>
    <w:rsid w:val="0006468E"/>
    <w:rsid w:val="0007056F"/>
    <w:rsid w:val="00074365"/>
    <w:rsid w:val="0008440D"/>
    <w:rsid w:val="0008580D"/>
    <w:rsid w:val="0008674B"/>
    <w:rsid w:val="0009425D"/>
    <w:rsid w:val="0009716A"/>
    <w:rsid w:val="000A3A01"/>
    <w:rsid w:val="000B0848"/>
    <w:rsid w:val="000B0A18"/>
    <w:rsid w:val="000B504C"/>
    <w:rsid w:val="000C54F8"/>
    <w:rsid w:val="000D3779"/>
    <w:rsid w:val="000D5C9A"/>
    <w:rsid w:val="000E3509"/>
    <w:rsid w:val="000E5F46"/>
    <w:rsid w:val="000F546C"/>
    <w:rsid w:val="000F5B0E"/>
    <w:rsid w:val="00102586"/>
    <w:rsid w:val="00113EB9"/>
    <w:rsid w:val="0013546D"/>
    <w:rsid w:val="00135C03"/>
    <w:rsid w:val="00136F26"/>
    <w:rsid w:val="0015488C"/>
    <w:rsid w:val="001563F9"/>
    <w:rsid w:val="0017181C"/>
    <w:rsid w:val="00176A71"/>
    <w:rsid w:val="00190F49"/>
    <w:rsid w:val="00191218"/>
    <w:rsid w:val="00196952"/>
    <w:rsid w:val="001B3062"/>
    <w:rsid w:val="001B6609"/>
    <w:rsid w:val="001C036D"/>
    <w:rsid w:val="001C56B2"/>
    <w:rsid w:val="001C723E"/>
    <w:rsid w:val="001D57FA"/>
    <w:rsid w:val="001D5FD6"/>
    <w:rsid w:val="001F0ADE"/>
    <w:rsid w:val="002036FB"/>
    <w:rsid w:val="00206E11"/>
    <w:rsid w:val="00213EE2"/>
    <w:rsid w:val="00220CC7"/>
    <w:rsid w:val="002359E4"/>
    <w:rsid w:val="00236F83"/>
    <w:rsid w:val="002552DA"/>
    <w:rsid w:val="002558C7"/>
    <w:rsid w:val="002635F0"/>
    <w:rsid w:val="002732DD"/>
    <w:rsid w:val="00284528"/>
    <w:rsid w:val="002847EA"/>
    <w:rsid w:val="00285587"/>
    <w:rsid w:val="00290710"/>
    <w:rsid w:val="00290BD7"/>
    <w:rsid w:val="002A018C"/>
    <w:rsid w:val="002A0B27"/>
    <w:rsid w:val="002A1C36"/>
    <w:rsid w:val="002A286B"/>
    <w:rsid w:val="002A31FF"/>
    <w:rsid w:val="002A72DE"/>
    <w:rsid w:val="002B6EA9"/>
    <w:rsid w:val="002C1829"/>
    <w:rsid w:val="002C4542"/>
    <w:rsid w:val="002C66B8"/>
    <w:rsid w:val="002D1F9C"/>
    <w:rsid w:val="002D2C8E"/>
    <w:rsid w:val="002D6A50"/>
    <w:rsid w:val="002E7D31"/>
    <w:rsid w:val="002F107F"/>
    <w:rsid w:val="00305472"/>
    <w:rsid w:val="00313DAC"/>
    <w:rsid w:val="00321923"/>
    <w:rsid w:val="00323AD9"/>
    <w:rsid w:val="003251AB"/>
    <w:rsid w:val="003252AF"/>
    <w:rsid w:val="00331D91"/>
    <w:rsid w:val="00332C0A"/>
    <w:rsid w:val="00333184"/>
    <w:rsid w:val="00341F9B"/>
    <w:rsid w:val="003637F0"/>
    <w:rsid w:val="0036642E"/>
    <w:rsid w:val="00380948"/>
    <w:rsid w:val="00386801"/>
    <w:rsid w:val="00387380"/>
    <w:rsid w:val="00391D35"/>
    <w:rsid w:val="00394DEF"/>
    <w:rsid w:val="00394FA5"/>
    <w:rsid w:val="003B252C"/>
    <w:rsid w:val="003E08AA"/>
    <w:rsid w:val="003E478B"/>
    <w:rsid w:val="003E4ED3"/>
    <w:rsid w:val="003E5EDD"/>
    <w:rsid w:val="003E6942"/>
    <w:rsid w:val="00401A74"/>
    <w:rsid w:val="00403181"/>
    <w:rsid w:val="00404C54"/>
    <w:rsid w:val="004051DC"/>
    <w:rsid w:val="004302AA"/>
    <w:rsid w:val="00452DC0"/>
    <w:rsid w:val="00454B16"/>
    <w:rsid w:val="004555FD"/>
    <w:rsid w:val="0045767E"/>
    <w:rsid w:val="00457835"/>
    <w:rsid w:val="00461E5E"/>
    <w:rsid w:val="004639D6"/>
    <w:rsid w:val="004731D9"/>
    <w:rsid w:val="00482AB1"/>
    <w:rsid w:val="00490CFF"/>
    <w:rsid w:val="0049656E"/>
    <w:rsid w:val="004969CB"/>
    <w:rsid w:val="004A276D"/>
    <w:rsid w:val="004A38C4"/>
    <w:rsid w:val="004B2231"/>
    <w:rsid w:val="004C6758"/>
    <w:rsid w:val="004C6CAF"/>
    <w:rsid w:val="004D148E"/>
    <w:rsid w:val="004D6EF1"/>
    <w:rsid w:val="004F011F"/>
    <w:rsid w:val="004F15B1"/>
    <w:rsid w:val="004F32E9"/>
    <w:rsid w:val="004F70EB"/>
    <w:rsid w:val="00501F49"/>
    <w:rsid w:val="00502AA2"/>
    <w:rsid w:val="005111F7"/>
    <w:rsid w:val="00513748"/>
    <w:rsid w:val="00515F04"/>
    <w:rsid w:val="00553F1B"/>
    <w:rsid w:val="00565C56"/>
    <w:rsid w:val="005820A1"/>
    <w:rsid w:val="00593922"/>
    <w:rsid w:val="005A01B9"/>
    <w:rsid w:val="005A3B02"/>
    <w:rsid w:val="005A3BCD"/>
    <w:rsid w:val="005B1129"/>
    <w:rsid w:val="005D223A"/>
    <w:rsid w:val="005D4265"/>
    <w:rsid w:val="005F2797"/>
    <w:rsid w:val="006101D2"/>
    <w:rsid w:val="006127A3"/>
    <w:rsid w:val="006152E9"/>
    <w:rsid w:val="00616E3B"/>
    <w:rsid w:val="00632805"/>
    <w:rsid w:val="006359AF"/>
    <w:rsid w:val="00636146"/>
    <w:rsid w:val="006454BC"/>
    <w:rsid w:val="006540DC"/>
    <w:rsid w:val="006629BD"/>
    <w:rsid w:val="00671CB9"/>
    <w:rsid w:val="00676A0C"/>
    <w:rsid w:val="00683A88"/>
    <w:rsid w:val="006A2CBF"/>
    <w:rsid w:val="006A5945"/>
    <w:rsid w:val="006A5C68"/>
    <w:rsid w:val="006A70E6"/>
    <w:rsid w:val="006B5C75"/>
    <w:rsid w:val="006B66E4"/>
    <w:rsid w:val="006C40B9"/>
    <w:rsid w:val="006C4265"/>
    <w:rsid w:val="006C457B"/>
    <w:rsid w:val="006C6302"/>
    <w:rsid w:val="006C6785"/>
    <w:rsid w:val="006D3F93"/>
    <w:rsid w:val="006D6F36"/>
    <w:rsid w:val="006E03C9"/>
    <w:rsid w:val="006F5487"/>
    <w:rsid w:val="00700114"/>
    <w:rsid w:val="007006E3"/>
    <w:rsid w:val="00700C0A"/>
    <w:rsid w:val="0070221F"/>
    <w:rsid w:val="00713F12"/>
    <w:rsid w:val="00715F52"/>
    <w:rsid w:val="00720189"/>
    <w:rsid w:val="0072413B"/>
    <w:rsid w:val="007254F4"/>
    <w:rsid w:val="0072778E"/>
    <w:rsid w:val="00732989"/>
    <w:rsid w:val="0073488F"/>
    <w:rsid w:val="00740BC5"/>
    <w:rsid w:val="00744B8F"/>
    <w:rsid w:val="0075657B"/>
    <w:rsid w:val="00756E9F"/>
    <w:rsid w:val="00757577"/>
    <w:rsid w:val="00762EB7"/>
    <w:rsid w:val="007679E5"/>
    <w:rsid w:val="007762C4"/>
    <w:rsid w:val="007800D5"/>
    <w:rsid w:val="007815A3"/>
    <w:rsid w:val="00791379"/>
    <w:rsid w:val="007926B5"/>
    <w:rsid w:val="007B0C0C"/>
    <w:rsid w:val="007B20C4"/>
    <w:rsid w:val="007B39AF"/>
    <w:rsid w:val="007B4BA3"/>
    <w:rsid w:val="007B6228"/>
    <w:rsid w:val="007C177F"/>
    <w:rsid w:val="007C318A"/>
    <w:rsid w:val="007C63DB"/>
    <w:rsid w:val="007C74BB"/>
    <w:rsid w:val="007C7916"/>
    <w:rsid w:val="007D0BAB"/>
    <w:rsid w:val="007D2883"/>
    <w:rsid w:val="007D3CD0"/>
    <w:rsid w:val="007E3DEF"/>
    <w:rsid w:val="007F5FCA"/>
    <w:rsid w:val="00801E3C"/>
    <w:rsid w:val="0082486E"/>
    <w:rsid w:val="00844A8B"/>
    <w:rsid w:val="008458C8"/>
    <w:rsid w:val="00847706"/>
    <w:rsid w:val="00861172"/>
    <w:rsid w:val="00862483"/>
    <w:rsid w:val="00874518"/>
    <w:rsid w:val="008804AD"/>
    <w:rsid w:val="008921A4"/>
    <w:rsid w:val="00895B3E"/>
    <w:rsid w:val="00896820"/>
    <w:rsid w:val="008A277D"/>
    <w:rsid w:val="008A6E49"/>
    <w:rsid w:val="008A7E94"/>
    <w:rsid w:val="008B06D1"/>
    <w:rsid w:val="008B0EB0"/>
    <w:rsid w:val="008C2550"/>
    <w:rsid w:val="008E1700"/>
    <w:rsid w:val="008E5E01"/>
    <w:rsid w:val="008F07D0"/>
    <w:rsid w:val="008F2444"/>
    <w:rsid w:val="008F2665"/>
    <w:rsid w:val="008F5814"/>
    <w:rsid w:val="00910B4E"/>
    <w:rsid w:val="0092081E"/>
    <w:rsid w:val="00921E96"/>
    <w:rsid w:val="0092592E"/>
    <w:rsid w:val="00932C8D"/>
    <w:rsid w:val="00934A35"/>
    <w:rsid w:val="00941E25"/>
    <w:rsid w:val="00942633"/>
    <w:rsid w:val="009446C4"/>
    <w:rsid w:val="00946BA9"/>
    <w:rsid w:val="00950F5B"/>
    <w:rsid w:val="009541D9"/>
    <w:rsid w:val="00956E0D"/>
    <w:rsid w:val="0096733E"/>
    <w:rsid w:val="00977E7A"/>
    <w:rsid w:val="00981324"/>
    <w:rsid w:val="00983723"/>
    <w:rsid w:val="00997785"/>
    <w:rsid w:val="009A2CF2"/>
    <w:rsid w:val="009A7959"/>
    <w:rsid w:val="009C076C"/>
    <w:rsid w:val="009C23FF"/>
    <w:rsid w:val="009C2686"/>
    <w:rsid w:val="009D4E1A"/>
    <w:rsid w:val="009F06D9"/>
    <w:rsid w:val="009F5AE8"/>
    <w:rsid w:val="00A01CAB"/>
    <w:rsid w:val="00A03D2E"/>
    <w:rsid w:val="00A10A4A"/>
    <w:rsid w:val="00A25462"/>
    <w:rsid w:val="00A26D36"/>
    <w:rsid w:val="00A31F34"/>
    <w:rsid w:val="00A43902"/>
    <w:rsid w:val="00A52A43"/>
    <w:rsid w:val="00A53707"/>
    <w:rsid w:val="00A60B64"/>
    <w:rsid w:val="00A62D6F"/>
    <w:rsid w:val="00A645F2"/>
    <w:rsid w:val="00A6757D"/>
    <w:rsid w:val="00A74522"/>
    <w:rsid w:val="00A75971"/>
    <w:rsid w:val="00A75E4E"/>
    <w:rsid w:val="00A801C0"/>
    <w:rsid w:val="00A856D0"/>
    <w:rsid w:val="00A91C4F"/>
    <w:rsid w:val="00A9346E"/>
    <w:rsid w:val="00A939D1"/>
    <w:rsid w:val="00A946F8"/>
    <w:rsid w:val="00A961A3"/>
    <w:rsid w:val="00AA06CB"/>
    <w:rsid w:val="00AA3CD8"/>
    <w:rsid w:val="00AB1D4D"/>
    <w:rsid w:val="00AB3973"/>
    <w:rsid w:val="00AC2340"/>
    <w:rsid w:val="00AD2212"/>
    <w:rsid w:val="00AD3A26"/>
    <w:rsid w:val="00AE1CE7"/>
    <w:rsid w:val="00B02578"/>
    <w:rsid w:val="00B35CE2"/>
    <w:rsid w:val="00B40E41"/>
    <w:rsid w:val="00B63EF7"/>
    <w:rsid w:val="00B6434A"/>
    <w:rsid w:val="00B717F1"/>
    <w:rsid w:val="00B83537"/>
    <w:rsid w:val="00B84097"/>
    <w:rsid w:val="00B860F6"/>
    <w:rsid w:val="00B954D8"/>
    <w:rsid w:val="00BA05F1"/>
    <w:rsid w:val="00BA3609"/>
    <w:rsid w:val="00BB4EBE"/>
    <w:rsid w:val="00BC1FD0"/>
    <w:rsid w:val="00BC4E82"/>
    <w:rsid w:val="00BD2C39"/>
    <w:rsid w:val="00BE488B"/>
    <w:rsid w:val="00BF09B7"/>
    <w:rsid w:val="00C01FF0"/>
    <w:rsid w:val="00C04A45"/>
    <w:rsid w:val="00C06A0D"/>
    <w:rsid w:val="00C109F2"/>
    <w:rsid w:val="00C127CF"/>
    <w:rsid w:val="00C21ABF"/>
    <w:rsid w:val="00C34907"/>
    <w:rsid w:val="00C367C3"/>
    <w:rsid w:val="00C37750"/>
    <w:rsid w:val="00C55ACF"/>
    <w:rsid w:val="00C5657A"/>
    <w:rsid w:val="00C56940"/>
    <w:rsid w:val="00C60975"/>
    <w:rsid w:val="00C627C4"/>
    <w:rsid w:val="00C76930"/>
    <w:rsid w:val="00C802F9"/>
    <w:rsid w:val="00C8711F"/>
    <w:rsid w:val="00C936FD"/>
    <w:rsid w:val="00C955AF"/>
    <w:rsid w:val="00CA24B4"/>
    <w:rsid w:val="00CB1171"/>
    <w:rsid w:val="00CB7827"/>
    <w:rsid w:val="00CC03A8"/>
    <w:rsid w:val="00CD0720"/>
    <w:rsid w:val="00CD2779"/>
    <w:rsid w:val="00CD38B1"/>
    <w:rsid w:val="00CE3F31"/>
    <w:rsid w:val="00CF5E42"/>
    <w:rsid w:val="00CF6B3B"/>
    <w:rsid w:val="00D04AC9"/>
    <w:rsid w:val="00D11CE7"/>
    <w:rsid w:val="00D11EA1"/>
    <w:rsid w:val="00D14B08"/>
    <w:rsid w:val="00D47FBB"/>
    <w:rsid w:val="00D52C45"/>
    <w:rsid w:val="00D61ACA"/>
    <w:rsid w:val="00D634DE"/>
    <w:rsid w:val="00D67FFD"/>
    <w:rsid w:val="00D730AB"/>
    <w:rsid w:val="00D80A9A"/>
    <w:rsid w:val="00D829E4"/>
    <w:rsid w:val="00D92470"/>
    <w:rsid w:val="00D9713E"/>
    <w:rsid w:val="00D9796C"/>
    <w:rsid w:val="00DA64B0"/>
    <w:rsid w:val="00DA78B8"/>
    <w:rsid w:val="00DB3DDA"/>
    <w:rsid w:val="00DB5B27"/>
    <w:rsid w:val="00DB6570"/>
    <w:rsid w:val="00DB66BD"/>
    <w:rsid w:val="00DB7B94"/>
    <w:rsid w:val="00DC115E"/>
    <w:rsid w:val="00DC3094"/>
    <w:rsid w:val="00DC46E4"/>
    <w:rsid w:val="00DC55CC"/>
    <w:rsid w:val="00DC5BF5"/>
    <w:rsid w:val="00DD21E6"/>
    <w:rsid w:val="00DD5FAE"/>
    <w:rsid w:val="00DD7A0C"/>
    <w:rsid w:val="00DE4778"/>
    <w:rsid w:val="00DE6160"/>
    <w:rsid w:val="00E017EE"/>
    <w:rsid w:val="00E0401C"/>
    <w:rsid w:val="00E0457B"/>
    <w:rsid w:val="00E06616"/>
    <w:rsid w:val="00E2291A"/>
    <w:rsid w:val="00E24CEC"/>
    <w:rsid w:val="00E351BF"/>
    <w:rsid w:val="00E42C4F"/>
    <w:rsid w:val="00E4330C"/>
    <w:rsid w:val="00E470E0"/>
    <w:rsid w:val="00E52773"/>
    <w:rsid w:val="00E52C0E"/>
    <w:rsid w:val="00E53320"/>
    <w:rsid w:val="00E57A87"/>
    <w:rsid w:val="00E6412D"/>
    <w:rsid w:val="00E6481C"/>
    <w:rsid w:val="00E6588E"/>
    <w:rsid w:val="00E65DFE"/>
    <w:rsid w:val="00E661F9"/>
    <w:rsid w:val="00E71428"/>
    <w:rsid w:val="00E77BEA"/>
    <w:rsid w:val="00E8535B"/>
    <w:rsid w:val="00EB025A"/>
    <w:rsid w:val="00EC21D1"/>
    <w:rsid w:val="00EC6DB5"/>
    <w:rsid w:val="00ED0A26"/>
    <w:rsid w:val="00ED1364"/>
    <w:rsid w:val="00ED22D2"/>
    <w:rsid w:val="00EE3E2F"/>
    <w:rsid w:val="00EE6375"/>
    <w:rsid w:val="00F015E6"/>
    <w:rsid w:val="00F02239"/>
    <w:rsid w:val="00F04C23"/>
    <w:rsid w:val="00F133B4"/>
    <w:rsid w:val="00F17A3A"/>
    <w:rsid w:val="00F23EB8"/>
    <w:rsid w:val="00F2448E"/>
    <w:rsid w:val="00F32431"/>
    <w:rsid w:val="00F36B38"/>
    <w:rsid w:val="00F40B2C"/>
    <w:rsid w:val="00F437BD"/>
    <w:rsid w:val="00F43E2B"/>
    <w:rsid w:val="00F44E6A"/>
    <w:rsid w:val="00F475C5"/>
    <w:rsid w:val="00F55129"/>
    <w:rsid w:val="00F57E68"/>
    <w:rsid w:val="00F60600"/>
    <w:rsid w:val="00F622BD"/>
    <w:rsid w:val="00F62473"/>
    <w:rsid w:val="00F65B8A"/>
    <w:rsid w:val="00F72F10"/>
    <w:rsid w:val="00F76F67"/>
    <w:rsid w:val="00F7723E"/>
    <w:rsid w:val="00F933C4"/>
    <w:rsid w:val="00F97B46"/>
    <w:rsid w:val="00FA41B5"/>
    <w:rsid w:val="00FB0D2B"/>
    <w:rsid w:val="00FC6B5A"/>
    <w:rsid w:val="00FC7015"/>
    <w:rsid w:val="00FC74DB"/>
    <w:rsid w:val="00FD47AA"/>
    <w:rsid w:val="00FE29FA"/>
    <w:rsid w:val="00FE5D62"/>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customStyle="1" w:styleId="l6">
    <w:name w:val="l6"/>
    <w:basedOn w:val="DefaultParagraphFont"/>
    <w:rsid w:val="00934A35"/>
  </w:style>
  <w:style w:type="character" w:styleId="FollowedHyperlink">
    <w:name w:val="FollowedHyperlink"/>
    <w:basedOn w:val="DefaultParagraphFont"/>
    <w:uiPriority w:val="99"/>
    <w:semiHidden/>
    <w:unhideWhenUsed/>
    <w:rsid w:val="00934A35"/>
    <w:rPr>
      <w:color w:val="800080" w:themeColor="followedHyperlink"/>
      <w:u w:val="single"/>
    </w:rPr>
  </w:style>
  <w:style w:type="paragraph" w:customStyle="1" w:styleId="fig-caption">
    <w:name w:val="fig-caption"/>
    <w:basedOn w:val="Normal"/>
    <w:rsid w:val="00C04A45"/>
    <w:pPr>
      <w:spacing w:before="100" w:beforeAutospacing="1" w:after="100" w:afterAutospacing="1" w:line="240" w:lineRule="auto"/>
    </w:pPr>
    <w:rPr>
      <w:rFonts w:ascii="Times New Roman" w:eastAsia="Times New Roman" w:hAnsi="Times New Roman"/>
      <w:sz w:val="24"/>
      <w:szCs w:val="24"/>
    </w:rPr>
  </w:style>
  <w:style w:type="paragraph" w:customStyle="1" w:styleId="BB-ConstructiveSpeech">
    <w:name w:val="BB-Constructive Speech"/>
    <w:link w:val="BriefHeading2ACharChar"/>
    <w:rsid w:val="00ED1364"/>
    <w:pPr>
      <w:tabs>
        <w:tab w:val="left" w:pos="360"/>
      </w:tabs>
      <w:spacing w:after="200"/>
      <w:ind w:left="-288"/>
    </w:pPr>
    <w:rPr>
      <w:rFonts w:ascii="Times New Roman" w:eastAsia="Times New Roman" w:hAnsi="Times New Roman"/>
    </w:rPr>
  </w:style>
  <w:style w:type="paragraph" w:customStyle="1" w:styleId="BlockTextChar">
    <w:name w:val="Block Text Char"/>
    <w:rsid w:val="00ED1364"/>
    <w:pPr>
      <w:keepNext/>
      <w:spacing w:after="80"/>
      <w:ind w:left="-288"/>
    </w:pPr>
    <w:rPr>
      <w:rFonts w:ascii="Times New Roman" w:eastAsia="Times New Roman" w:hAnsi="Times New Roman"/>
      <w:b/>
    </w:rPr>
  </w:style>
  <w:style w:type="character" w:customStyle="1" w:styleId="BriefHeading2ACharChar">
    <w:name w:val="Brief Heading 2A Char Char"/>
    <w:basedOn w:val="DefaultParagraphFont"/>
    <w:link w:val="BB-ConstructiveSpeech"/>
    <w:rsid w:val="00ED1364"/>
    <w:rPr>
      <w:rFonts w:ascii="Times New Roman" w:eastAsia="Times New Roman" w:hAnsi="Times New Roman"/>
    </w:rPr>
  </w:style>
  <w:style w:type="paragraph" w:customStyle="1" w:styleId="BB-Citation">
    <w:name w:val="BB-Citation"/>
    <w:rsid w:val="00ED1364"/>
    <w:pPr>
      <w:keepNext/>
      <w:keepLines/>
      <w:spacing w:after="80"/>
    </w:pPr>
    <w:rPr>
      <w:rFonts w:ascii="Times New Roman" w:eastAsia="Times New Roman" w:hAnsi="Times New Roman"/>
      <w:i/>
    </w:rPr>
  </w:style>
  <w:style w:type="paragraph" w:customStyle="1" w:styleId="BB-Evidence">
    <w:name w:val="BB-Evidence"/>
    <w:link w:val="body3"/>
    <w:rsid w:val="00ED1364"/>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ED1364"/>
    <w:rPr>
      <w:rFonts w:ascii="Times New Roman" w:eastAsia="Times New Roman" w:hAnsi="Times New Roman"/>
    </w:rPr>
  </w:style>
  <w:style w:type="character" w:customStyle="1" w:styleId="A">
    <w:name w:val="A"/>
    <w:basedOn w:val="DefaultParagraphFont"/>
    <w:rsid w:val="00553F1B"/>
    <w:rPr>
      <w:strike w:val="0"/>
      <w:u w:val="none"/>
    </w:rPr>
  </w:style>
  <w:style w:type="paragraph" w:customStyle="1" w:styleId="Default">
    <w:name w:val="Default"/>
    <w:rsid w:val="008F2665"/>
    <w:pPr>
      <w:autoSpaceDE w:val="0"/>
      <w:autoSpaceDN w:val="0"/>
      <w:adjustRightInd w:val="0"/>
    </w:pPr>
    <w:rPr>
      <w:rFonts w:ascii="Century Gothic" w:hAnsi="Century Gothic" w:cs="Century Gothic"/>
      <w:color w:val="000000"/>
      <w:sz w:val="24"/>
      <w:szCs w:val="24"/>
    </w:rPr>
  </w:style>
  <w:style w:type="paragraph" w:customStyle="1" w:styleId="Pa3">
    <w:name w:val="Pa3"/>
    <w:basedOn w:val="Default"/>
    <w:next w:val="Default"/>
    <w:uiPriority w:val="99"/>
    <w:rsid w:val="00A62D6F"/>
    <w:pPr>
      <w:spacing w:line="221" w:lineRule="atLeast"/>
    </w:pPr>
    <w:rPr>
      <w:rFonts w:ascii="AGaramond" w:hAnsi="AGaramond" w:cs="Times New Roman"/>
      <w:color w:val="auto"/>
    </w:rPr>
  </w:style>
  <w:style w:type="character" w:customStyle="1" w:styleId="A12">
    <w:name w:val="A12"/>
    <w:uiPriority w:val="99"/>
    <w:rsid w:val="00A62D6F"/>
    <w:rPr>
      <w:rFonts w:cs="AGaramond"/>
      <w:color w:val="000000"/>
      <w:sz w:val="12"/>
      <w:szCs w:val="12"/>
    </w:rPr>
  </w:style>
  <w:style w:type="character" w:customStyle="1" w:styleId="company-name-type">
    <w:name w:val="company-name-type"/>
    <w:basedOn w:val="DefaultParagraphFont"/>
    <w:rsid w:val="0017181C"/>
  </w:style>
  <w:style w:type="paragraph" w:customStyle="1" w:styleId="Pa6">
    <w:name w:val="Pa6"/>
    <w:basedOn w:val="Default"/>
    <w:next w:val="Default"/>
    <w:uiPriority w:val="99"/>
    <w:rsid w:val="00F36B38"/>
    <w:pPr>
      <w:spacing w:line="221" w:lineRule="atLeast"/>
    </w:pPr>
    <w:rPr>
      <w:rFonts w:ascii="Minion Pro" w:hAnsi="Minion Pro" w:cs="Times New Roman"/>
      <w:color w:val="auto"/>
    </w:rPr>
  </w:style>
  <w:style w:type="character" w:customStyle="1" w:styleId="A11">
    <w:name w:val="A11"/>
    <w:uiPriority w:val="99"/>
    <w:rsid w:val="00F36B38"/>
    <w:rPr>
      <w:rFonts w:ascii="Myriad Pro" w:hAnsi="Myriad Pro" w:cs="Myriad Pro"/>
      <w:color w:val="000000"/>
      <w:sz w:val="12"/>
      <w:szCs w:val="12"/>
    </w:rPr>
  </w:style>
  <w:style w:type="character" w:customStyle="1" w:styleId="A0">
    <w:name w:val="A0"/>
    <w:uiPriority w:val="99"/>
    <w:rsid w:val="00F36B38"/>
    <w:rPr>
      <w:rFonts w:cs="Minion Pro"/>
      <w:color w:val="000000"/>
      <w:sz w:val="22"/>
      <w:szCs w:val="22"/>
    </w:rPr>
  </w:style>
  <w:style w:type="character" w:customStyle="1" w:styleId="tickerwrap">
    <w:name w:val="ticker_wrap"/>
    <w:basedOn w:val="DefaultParagraphFont"/>
    <w:rsid w:val="005A3B02"/>
  </w:style>
  <w:style w:type="character" w:customStyle="1" w:styleId="lede-headlinehighlighted">
    <w:name w:val="lede-headline__highlighted"/>
    <w:basedOn w:val="DefaultParagraphFont"/>
    <w:rsid w:val="004A38C4"/>
  </w:style>
  <w:style w:type="character" w:customStyle="1" w:styleId="EvidenceChar">
    <w:name w:val="Evidence Char"/>
    <w:basedOn w:val="DefaultParagraphFont"/>
    <w:link w:val="Evidence"/>
    <w:locked/>
    <w:rsid w:val="00E53320"/>
    <w:rPr>
      <w:rFonts w:ascii="Times New Roman" w:eastAsia="Times New Roman" w:hAnsi="Times New Roman"/>
      <w:bCs/>
      <w:color w:val="000000"/>
      <w:lang w:eastAsia="fr-F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customStyle="1" w:styleId="l6">
    <w:name w:val="l6"/>
    <w:basedOn w:val="DefaultParagraphFont"/>
    <w:rsid w:val="00934A35"/>
  </w:style>
  <w:style w:type="character" w:styleId="FollowedHyperlink">
    <w:name w:val="FollowedHyperlink"/>
    <w:basedOn w:val="DefaultParagraphFont"/>
    <w:uiPriority w:val="99"/>
    <w:semiHidden/>
    <w:unhideWhenUsed/>
    <w:rsid w:val="00934A35"/>
    <w:rPr>
      <w:color w:val="800080" w:themeColor="followedHyperlink"/>
      <w:u w:val="single"/>
    </w:rPr>
  </w:style>
  <w:style w:type="paragraph" w:customStyle="1" w:styleId="fig-caption">
    <w:name w:val="fig-caption"/>
    <w:basedOn w:val="Normal"/>
    <w:rsid w:val="00C04A45"/>
    <w:pPr>
      <w:spacing w:before="100" w:beforeAutospacing="1" w:after="100" w:afterAutospacing="1" w:line="240" w:lineRule="auto"/>
    </w:pPr>
    <w:rPr>
      <w:rFonts w:ascii="Times New Roman" w:eastAsia="Times New Roman" w:hAnsi="Times New Roman"/>
      <w:sz w:val="24"/>
      <w:szCs w:val="24"/>
    </w:rPr>
  </w:style>
  <w:style w:type="paragraph" w:customStyle="1" w:styleId="BB-ConstructiveSpeech">
    <w:name w:val="BB-Constructive Speech"/>
    <w:link w:val="BriefHeading2ACharChar"/>
    <w:rsid w:val="00ED1364"/>
    <w:pPr>
      <w:tabs>
        <w:tab w:val="left" w:pos="360"/>
      </w:tabs>
      <w:spacing w:after="200"/>
      <w:ind w:left="-288"/>
    </w:pPr>
    <w:rPr>
      <w:rFonts w:ascii="Times New Roman" w:eastAsia="Times New Roman" w:hAnsi="Times New Roman"/>
    </w:rPr>
  </w:style>
  <w:style w:type="paragraph" w:customStyle="1" w:styleId="BlockTextChar">
    <w:name w:val="Block Text Char"/>
    <w:rsid w:val="00ED1364"/>
    <w:pPr>
      <w:keepNext/>
      <w:spacing w:after="80"/>
      <w:ind w:left="-288"/>
    </w:pPr>
    <w:rPr>
      <w:rFonts w:ascii="Times New Roman" w:eastAsia="Times New Roman" w:hAnsi="Times New Roman"/>
      <w:b/>
    </w:rPr>
  </w:style>
  <w:style w:type="character" w:customStyle="1" w:styleId="BriefHeading2ACharChar">
    <w:name w:val="Brief Heading 2A Char Char"/>
    <w:basedOn w:val="DefaultParagraphFont"/>
    <w:link w:val="BB-ConstructiveSpeech"/>
    <w:rsid w:val="00ED1364"/>
    <w:rPr>
      <w:rFonts w:ascii="Times New Roman" w:eastAsia="Times New Roman" w:hAnsi="Times New Roman"/>
    </w:rPr>
  </w:style>
  <w:style w:type="paragraph" w:customStyle="1" w:styleId="BB-Citation">
    <w:name w:val="BB-Citation"/>
    <w:rsid w:val="00ED1364"/>
    <w:pPr>
      <w:keepNext/>
      <w:keepLines/>
      <w:spacing w:after="80"/>
    </w:pPr>
    <w:rPr>
      <w:rFonts w:ascii="Times New Roman" w:eastAsia="Times New Roman" w:hAnsi="Times New Roman"/>
      <w:i/>
    </w:rPr>
  </w:style>
  <w:style w:type="paragraph" w:customStyle="1" w:styleId="BB-Evidence">
    <w:name w:val="BB-Evidence"/>
    <w:link w:val="body3"/>
    <w:rsid w:val="00ED1364"/>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ED1364"/>
    <w:rPr>
      <w:rFonts w:ascii="Times New Roman" w:eastAsia="Times New Roman" w:hAnsi="Times New Roman"/>
    </w:rPr>
  </w:style>
  <w:style w:type="character" w:customStyle="1" w:styleId="A">
    <w:name w:val="A"/>
    <w:basedOn w:val="DefaultParagraphFont"/>
    <w:rsid w:val="00553F1B"/>
    <w:rPr>
      <w:strike w:val="0"/>
      <w:u w:val="none"/>
    </w:rPr>
  </w:style>
  <w:style w:type="paragraph" w:customStyle="1" w:styleId="Default">
    <w:name w:val="Default"/>
    <w:rsid w:val="008F2665"/>
    <w:pPr>
      <w:autoSpaceDE w:val="0"/>
      <w:autoSpaceDN w:val="0"/>
      <w:adjustRightInd w:val="0"/>
    </w:pPr>
    <w:rPr>
      <w:rFonts w:ascii="Century Gothic" w:hAnsi="Century Gothic" w:cs="Century Gothic"/>
      <w:color w:val="000000"/>
      <w:sz w:val="24"/>
      <w:szCs w:val="24"/>
    </w:rPr>
  </w:style>
  <w:style w:type="paragraph" w:customStyle="1" w:styleId="Pa3">
    <w:name w:val="Pa3"/>
    <w:basedOn w:val="Default"/>
    <w:next w:val="Default"/>
    <w:uiPriority w:val="99"/>
    <w:rsid w:val="00A62D6F"/>
    <w:pPr>
      <w:spacing w:line="221" w:lineRule="atLeast"/>
    </w:pPr>
    <w:rPr>
      <w:rFonts w:ascii="AGaramond" w:hAnsi="AGaramond" w:cs="Times New Roman"/>
      <w:color w:val="auto"/>
    </w:rPr>
  </w:style>
  <w:style w:type="character" w:customStyle="1" w:styleId="A12">
    <w:name w:val="A12"/>
    <w:uiPriority w:val="99"/>
    <w:rsid w:val="00A62D6F"/>
    <w:rPr>
      <w:rFonts w:cs="AGaramond"/>
      <w:color w:val="000000"/>
      <w:sz w:val="12"/>
      <w:szCs w:val="12"/>
    </w:rPr>
  </w:style>
  <w:style w:type="character" w:customStyle="1" w:styleId="company-name-type">
    <w:name w:val="company-name-type"/>
    <w:basedOn w:val="DefaultParagraphFont"/>
    <w:rsid w:val="0017181C"/>
  </w:style>
  <w:style w:type="paragraph" w:customStyle="1" w:styleId="Pa6">
    <w:name w:val="Pa6"/>
    <w:basedOn w:val="Default"/>
    <w:next w:val="Default"/>
    <w:uiPriority w:val="99"/>
    <w:rsid w:val="00F36B38"/>
    <w:pPr>
      <w:spacing w:line="221" w:lineRule="atLeast"/>
    </w:pPr>
    <w:rPr>
      <w:rFonts w:ascii="Minion Pro" w:hAnsi="Minion Pro" w:cs="Times New Roman"/>
      <w:color w:val="auto"/>
    </w:rPr>
  </w:style>
  <w:style w:type="character" w:customStyle="1" w:styleId="A11">
    <w:name w:val="A11"/>
    <w:uiPriority w:val="99"/>
    <w:rsid w:val="00F36B38"/>
    <w:rPr>
      <w:rFonts w:ascii="Myriad Pro" w:hAnsi="Myriad Pro" w:cs="Myriad Pro"/>
      <w:color w:val="000000"/>
      <w:sz w:val="12"/>
      <w:szCs w:val="12"/>
    </w:rPr>
  </w:style>
  <w:style w:type="character" w:customStyle="1" w:styleId="A0">
    <w:name w:val="A0"/>
    <w:uiPriority w:val="99"/>
    <w:rsid w:val="00F36B38"/>
    <w:rPr>
      <w:rFonts w:cs="Minion Pro"/>
      <w:color w:val="000000"/>
      <w:sz w:val="22"/>
      <w:szCs w:val="22"/>
    </w:rPr>
  </w:style>
  <w:style w:type="character" w:customStyle="1" w:styleId="tickerwrap">
    <w:name w:val="ticker_wrap"/>
    <w:basedOn w:val="DefaultParagraphFont"/>
    <w:rsid w:val="005A3B02"/>
  </w:style>
  <w:style w:type="character" w:customStyle="1" w:styleId="lede-headlinehighlighted">
    <w:name w:val="lede-headline__highlighted"/>
    <w:basedOn w:val="DefaultParagraphFont"/>
    <w:rsid w:val="004A38C4"/>
  </w:style>
  <w:style w:type="character" w:customStyle="1" w:styleId="EvidenceChar">
    <w:name w:val="Evidence Char"/>
    <w:basedOn w:val="DefaultParagraphFont"/>
    <w:link w:val="Evidence"/>
    <w:locked/>
    <w:rsid w:val="00E53320"/>
    <w:rPr>
      <w:rFonts w:ascii="Times New Roman" w:eastAsia="Times New Roman" w:hAnsi="Times New Roman"/>
      <w:b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4935832">
      <w:bodyDiv w:val="1"/>
      <w:marLeft w:val="0"/>
      <w:marRight w:val="0"/>
      <w:marTop w:val="0"/>
      <w:marBottom w:val="0"/>
      <w:divBdr>
        <w:top w:val="none" w:sz="0" w:space="0" w:color="auto"/>
        <w:left w:val="none" w:sz="0" w:space="0" w:color="auto"/>
        <w:bottom w:val="none" w:sz="0" w:space="0" w:color="auto"/>
        <w:right w:val="none" w:sz="0" w:space="0" w:color="auto"/>
      </w:divBdr>
    </w:div>
    <w:div w:id="132408341">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87569512">
      <w:bodyDiv w:val="1"/>
      <w:marLeft w:val="0"/>
      <w:marRight w:val="0"/>
      <w:marTop w:val="0"/>
      <w:marBottom w:val="0"/>
      <w:divBdr>
        <w:top w:val="none" w:sz="0" w:space="0" w:color="auto"/>
        <w:left w:val="none" w:sz="0" w:space="0" w:color="auto"/>
        <w:bottom w:val="none" w:sz="0" w:space="0" w:color="auto"/>
        <w:right w:val="none" w:sz="0" w:space="0" w:color="auto"/>
      </w:divBdr>
    </w:div>
    <w:div w:id="195238373">
      <w:bodyDiv w:val="1"/>
      <w:marLeft w:val="0"/>
      <w:marRight w:val="0"/>
      <w:marTop w:val="0"/>
      <w:marBottom w:val="0"/>
      <w:divBdr>
        <w:top w:val="none" w:sz="0" w:space="0" w:color="auto"/>
        <w:left w:val="none" w:sz="0" w:space="0" w:color="auto"/>
        <w:bottom w:val="none" w:sz="0" w:space="0" w:color="auto"/>
        <w:right w:val="none" w:sz="0" w:space="0" w:color="auto"/>
      </w:divBdr>
    </w:div>
    <w:div w:id="235436674">
      <w:bodyDiv w:val="1"/>
      <w:marLeft w:val="0"/>
      <w:marRight w:val="0"/>
      <w:marTop w:val="0"/>
      <w:marBottom w:val="0"/>
      <w:divBdr>
        <w:top w:val="none" w:sz="0" w:space="0" w:color="auto"/>
        <w:left w:val="none" w:sz="0" w:space="0" w:color="auto"/>
        <w:bottom w:val="none" w:sz="0" w:space="0" w:color="auto"/>
        <w:right w:val="none" w:sz="0" w:space="0" w:color="auto"/>
      </w:divBdr>
    </w:div>
    <w:div w:id="254828440">
      <w:bodyDiv w:val="1"/>
      <w:marLeft w:val="0"/>
      <w:marRight w:val="0"/>
      <w:marTop w:val="0"/>
      <w:marBottom w:val="0"/>
      <w:divBdr>
        <w:top w:val="none" w:sz="0" w:space="0" w:color="auto"/>
        <w:left w:val="none" w:sz="0" w:space="0" w:color="auto"/>
        <w:bottom w:val="none" w:sz="0" w:space="0" w:color="auto"/>
        <w:right w:val="none" w:sz="0" w:space="0" w:color="auto"/>
      </w:divBdr>
    </w:div>
    <w:div w:id="26805206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3829794">
      <w:bodyDiv w:val="1"/>
      <w:marLeft w:val="0"/>
      <w:marRight w:val="0"/>
      <w:marTop w:val="0"/>
      <w:marBottom w:val="0"/>
      <w:divBdr>
        <w:top w:val="none" w:sz="0" w:space="0" w:color="auto"/>
        <w:left w:val="none" w:sz="0" w:space="0" w:color="auto"/>
        <w:bottom w:val="none" w:sz="0" w:space="0" w:color="auto"/>
        <w:right w:val="none" w:sz="0" w:space="0" w:color="auto"/>
      </w:divBdr>
    </w:div>
    <w:div w:id="376122497">
      <w:bodyDiv w:val="1"/>
      <w:marLeft w:val="0"/>
      <w:marRight w:val="0"/>
      <w:marTop w:val="0"/>
      <w:marBottom w:val="0"/>
      <w:divBdr>
        <w:top w:val="none" w:sz="0" w:space="0" w:color="auto"/>
        <w:left w:val="none" w:sz="0" w:space="0" w:color="auto"/>
        <w:bottom w:val="none" w:sz="0" w:space="0" w:color="auto"/>
        <w:right w:val="none" w:sz="0" w:space="0" w:color="auto"/>
      </w:divBdr>
    </w:div>
    <w:div w:id="397292084">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2290030">
      <w:bodyDiv w:val="1"/>
      <w:marLeft w:val="0"/>
      <w:marRight w:val="0"/>
      <w:marTop w:val="0"/>
      <w:marBottom w:val="0"/>
      <w:divBdr>
        <w:top w:val="none" w:sz="0" w:space="0" w:color="auto"/>
        <w:left w:val="none" w:sz="0" w:space="0" w:color="auto"/>
        <w:bottom w:val="none" w:sz="0" w:space="0" w:color="auto"/>
        <w:right w:val="none" w:sz="0" w:space="0" w:color="auto"/>
      </w:divBdr>
    </w:div>
    <w:div w:id="418674552">
      <w:bodyDiv w:val="1"/>
      <w:marLeft w:val="0"/>
      <w:marRight w:val="0"/>
      <w:marTop w:val="0"/>
      <w:marBottom w:val="0"/>
      <w:divBdr>
        <w:top w:val="none" w:sz="0" w:space="0" w:color="auto"/>
        <w:left w:val="none" w:sz="0" w:space="0" w:color="auto"/>
        <w:bottom w:val="none" w:sz="0" w:space="0" w:color="auto"/>
        <w:right w:val="none" w:sz="0" w:space="0" w:color="auto"/>
      </w:divBdr>
    </w:div>
    <w:div w:id="442113804">
      <w:bodyDiv w:val="1"/>
      <w:marLeft w:val="0"/>
      <w:marRight w:val="0"/>
      <w:marTop w:val="0"/>
      <w:marBottom w:val="0"/>
      <w:divBdr>
        <w:top w:val="none" w:sz="0" w:space="0" w:color="auto"/>
        <w:left w:val="none" w:sz="0" w:space="0" w:color="auto"/>
        <w:bottom w:val="none" w:sz="0" w:space="0" w:color="auto"/>
        <w:right w:val="none" w:sz="0" w:space="0" w:color="auto"/>
      </w:divBdr>
    </w:div>
    <w:div w:id="442725218">
      <w:bodyDiv w:val="1"/>
      <w:marLeft w:val="0"/>
      <w:marRight w:val="0"/>
      <w:marTop w:val="0"/>
      <w:marBottom w:val="0"/>
      <w:divBdr>
        <w:top w:val="none" w:sz="0" w:space="0" w:color="auto"/>
        <w:left w:val="none" w:sz="0" w:space="0" w:color="auto"/>
        <w:bottom w:val="none" w:sz="0" w:space="0" w:color="auto"/>
        <w:right w:val="none" w:sz="0" w:space="0" w:color="auto"/>
      </w:divBdr>
    </w:div>
    <w:div w:id="474758335">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5850331">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1652436">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1818709">
      <w:bodyDiv w:val="1"/>
      <w:marLeft w:val="0"/>
      <w:marRight w:val="0"/>
      <w:marTop w:val="0"/>
      <w:marBottom w:val="0"/>
      <w:divBdr>
        <w:top w:val="none" w:sz="0" w:space="0" w:color="auto"/>
        <w:left w:val="none" w:sz="0" w:space="0" w:color="auto"/>
        <w:bottom w:val="none" w:sz="0" w:space="0" w:color="auto"/>
        <w:right w:val="none" w:sz="0" w:space="0" w:color="auto"/>
      </w:divBdr>
    </w:div>
    <w:div w:id="578097532">
      <w:bodyDiv w:val="1"/>
      <w:marLeft w:val="0"/>
      <w:marRight w:val="0"/>
      <w:marTop w:val="0"/>
      <w:marBottom w:val="0"/>
      <w:divBdr>
        <w:top w:val="none" w:sz="0" w:space="0" w:color="auto"/>
        <w:left w:val="none" w:sz="0" w:space="0" w:color="auto"/>
        <w:bottom w:val="none" w:sz="0" w:space="0" w:color="auto"/>
        <w:right w:val="none" w:sz="0" w:space="0" w:color="auto"/>
      </w:divBdr>
    </w:div>
    <w:div w:id="591740665">
      <w:bodyDiv w:val="1"/>
      <w:marLeft w:val="0"/>
      <w:marRight w:val="0"/>
      <w:marTop w:val="0"/>
      <w:marBottom w:val="0"/>
      <w:divBdr>
        <w:top w:val="none" w:sz="0" w:space="0" w:color="auto"/>
        <w:left w:val="none" w:sz="0" w:space="0" w:color="auto"/>
        <w:bottom w:val="none" w:sz="0" w:space="0" w:color="auto"/>
        <w:right w:val="none" w:sz="0" w:space="0" w:color="auto"/>
      </w:divBdr>
    </w:div>
    <w:div w:id="609707420">
      <w:bodyDiv w:val="1"/>
      <w:marLeft w:val="0"/>
      <w:marRight w:val="0"/>
      <w:marTop w:val="0"/>
      <w:marBottom w:val="0"/>
      <w:divBdr>
        <w:top w:val="none" w:sz="0" w:space="0" w:color="auto"/>
        <w:left w:val="none" w:sz="0" w:space="0" w:color="auto"/>
        <w:bottom w:val="none" w:sz="0" w:space="0" w:color="auto"/>
        <w:right w:val="none" w:sz="0" w:space="0" w:color="auto"/>
      </w:divBdr>
    </w:div>
    <w:div w:id="617376424">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313438">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43236140">
      <w:bodyDiv w:val="1"/>
      <w:marLeft w:val="0"/>
      <w:marRight w:val="0"/>
      <w:marTop w:val="0"/>
      <w:marBottom w:val="0"/>
      <w:divBdr>
        <w:top w:val="none" w:sz="0" w:space="0" w:color="auto"/>
        <w:left w:val="none" w:sz="0" w:space="0" w:color="auto"/>
        <w:bottom w:val="none" w:sz="0" w:space="0" w:color="auto"/>
        <w:right w:val="none" w:sz="0" w:space="0" w:color="auto"/>
      </w:divBdr>
    </w:div>
    <w:div w:id="645860606">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4940991">
      <w:bodyDiv w:val="1"/>
      <w:marLeft w:val="0"/>
      <w:marRight w:val="0"/>
      <w:marTop w:val="0"/>
      <w:marBottom w:val="0"/>
      <w:divBdr>
        <w:top w:val="none" w:sz="0" w:space="0" w:color="auto"/>
        <w:left w:val="none" w:sz="0" w:space="0" w:color="auto"/>
        <w:bottom w:val="none" w:sz="0" w:space="0" w:color="auto"/>
        <w:right w:val="none" w:sz="0" w:space="0" w:color="auto"/>
      </w:divBdr>
    </w:div>
    <w:div w:id="698093921">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1536529">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1610549">
      <w:bodyDiv w:val="1"/>
      <w:marLeft w:val="0"/>
      <w:marRight w:val="0"/>
      <w:marTop w:val="0"/>
      <w:marBottom w:val="0"/>
      <w:divBdr>
        <w:top w:val="none" w:sz="0" w:space="0" w:color="auto"/>
        <w:left w:val="none" w:sz="0" w:space="0" w:color="auto"/>
        <w:bottom w:val="none" w:sz="0" w:space="0" w:color="auto"/>
        <w:right w:val="none" w:sz="0" w:space="0" w:color="auto"/>
      </w:divBdr>
      <w:divsChild>
        <w:div w:id="103632138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88670925">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710574">
      <w:bodyDiv w:val="1"/>
      <w:marLeft w:val="0"/>
      <w:marRight w:val="0"/>
      <w:marTop w:val="0"/>
      <w:marBottom w:val="0"/>
      <w:divBdr>
        <w:top w:val="none" w:sz="0" w:space="0" w:color="auto"/>
        <w:left w:val="none" w:sz="0" w:space="0" w:color="auto"/>
        <w:bottom w:val="none" w:sz="0" w:space="0" w:color="auto"/>
        <w:right w:val="none" w:sz="0" w:space="0" w:color="auto"/>
      </w:divBdr>
    </w:div>
    <w:div w:id="87585106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19560459">
      <w:bodyDiv w:val="1"/>
      <w:marLeft w:val="0"/>
      <w:marRight w:val="0"/>
      <w:marTop w:val="0"/>
      <w:marBottom w:val="0"/>
      <w:divBdr>
        <w:top w:val="none" w:sz="0" w:space="0" w:color="auto"/>
        <w:left w:val="none" w:sz="0" w:space="0" w:color="auto"/>
        <w:bottom w:val="none" w:sz="0" w:space="0" w:color="auto"/>
        <w:right w:val="none" w:sz="0" w:space="0" w:color="auto"/>
      </w:divBdr>
    </w:div>
    <w:div w:id="935789515">
      <w:bodyDiv w:val="1"/>
      <w:marLeft w:val="0"/>
      <w:marRight w:val="0"/>
      <w:marTop w:val="0"/>
      <w:marBottom w:val="0"/>
      <w:divBdr>
        <w:top w:val="none" w:sz="0" w:space="0" w:color="auto"/>
        <w:left w:val="none" w:sz="0" w:space="0" w:color="auto"/>
        <w:bottom w:val="none" w:sz="0" w:space="0" w:color="auto"/>
        <w:right w:val="none" w:sz="0" w:space="0" w:color="auto"/>
      </w:divBdr>
    </w:div>
    <w:div w:id="977298499">
      <w:bodyDiv w:val="1"/>
      <w:marLeft w:val="0"/>
      <w:marRight w:val="0"/>
      <w:marTop w:val="0"/>
      <w:marBottom w:val="0"/>
      <w:divBdr>
        <w:top w:val="none" w:sz="0" w:space="0" w:color="auto"/>
        <w:left w:val="none" w:sz="0" w:space="0" w:color="auto"/>
        <w:bottom w:val="none" w:sz="0" w:space="0" w:color="auto"/>
        <w:right w:val="none" w:sz="0" w:space="0" w:color="auto"/>
      </w:divBdr>
    </w:div>
    <w:div w:id="1023746490">
      <w:bodyDiv w:val="1"/>
      <w:marLeft w:val="0"/>
      <w:marRight w:val="0"/>
      <w:marTop w:val="0"/>
      <w:marBottom w:val="0"/>
      <w:divBdr>
        <w:top w:val="none" w:sz="0" w:space="0" w:color="auto"/>
        <w:left w:val="none" w:sz="0" w:space="0" w:color="auto"/>
        <w:bottom w:val="none" w:sz="0" w:space="0" w:color="auto"/>
        <w:right w:val="none" w:sz="0" w:space="0" w:color="auto"/>
      </w:divBdr>
    </w:div>
    <w:div w:id="1033072162">
      <w:bodyDiv w:val="1"/>
      <w:marLeft w:val="0"/>
      <w:marRight w:val="0"/>
      <w:marTop w:val="0"/>
      <w:marBottom w:val="0"/>
      <w:divBdr>
        <w:top w:val="none" w:sz="0" w:space="0" w:color="auto"/>
        <w:left w:val="none" w:sz="0" w:space="0" w:color="auto"/>
        <w:bottom w:val="none" w:sz="0" w:space="0" w:color="auto"/>
        <w:right w:val="none" w:sz="0" w:space="0" w:color="auto"/>
      </w:divBdr>
    </w:div>
    <w:div w:id="1068383035">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21875327">
      <w:bodyDiv w:val="1"/>
      <w:marLeft w:val="0"/>
      <w:marRight w:val="0"/>
      <w:marTop w:val="0"/>
      <w:marBottom w:val="0"/>
      <w:divBdr>
        <w:top w:val="none" w:sz="0" w:space="0" w:color="auto"/>
        <w:left w:val="none" w:sz="0" w:space="0" w:color="auto"/>
        <w:bottom w:val="none" w:sz="0" w:space="0" w:color="auto"/>
        <w:right w:val="none" w:sz="0" w:space="0" w:color="auto"/>
      </w:divBdr>
    </w:div>
    <w:div w:id="1140656593">
      <w:bodyDiv w:val="1"/>
      <w:marLeft w:val="0"/>
      <w:marRight w:val="0"/>
      <w:marTop w:val="0"/>
      <w:marBottom w:val="0"/>
      <w:divBdr>
        <w:top w:val="none" w:sz="0" w:space="0" w:color="auto"/>
        <w:left w:val="none" w:sz="0" w:space="0" w:color="auto"/>
        <w:bottom w:val="none" w:sz="0" w:space="0" w:color="auto"/>
        <w:right w:val="none" w:sz="0" w:space="0" w:color="auto"/>
      </w:divBdr>
    </w:div>
    <w:div w:id="1173647153">
      <w:bodyDiv w:val="1"/>
      <w:marLeft w:val="0"/>
      <w:marRight w:val="0"/>
      <w:marTop w:val="0"/>
      <w:marBottom w:val="0"/>
      <w:divBdr>
        <w:top w:val="none" w:sz="0" w:space="0" w:color="auto"/>
        <w:left w:val="none" w:sz="0" w:space="0" w:color="auto"/>
        <w:bottom w:val="none" w:sz="0" w:space="0" w:color="auto"/>
        <w:right w:val="none" w:sz="0" w:space="0" w:color="auto"/>
      </w:divBdr>
    </w:div>
    <w:div w:id="1188761251">
      <w:bodyDiv w:val="1"/>
      <w:marLeft w:val="0"/>
      <w:marRight w:val="0"/>
      <w:marTop w:val="0"/>
      <w:marBottom w:val="0"/>
      <w:divBdr>
        <w:top w:val="none" w:sz="0" w:space="0" w:color="auto"/>
        <w:left w:val="none" w:sz="0" w:space="0" w:color="auto"/>
        <w:bottom w:val="none" w:sz="0" w:space="0" w:color="auto"/>
        <w:right w:val="none" w:sz="0" w:space="0" w:color="auto"/>
      </w:divBdr>
    </w:div>
    <w:div w:id="119612109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1285302">
      <w:bodyDiv w:val="1"/>
      <w:marLeft w:val="0"/>
      <w:marRight w:val="0"/>
      <w:marTop w:val="0"/>
      <w:marBottom w:val="0"/>
      <w:divBdr>
        <w:top w:val="none" w:sz="0" w:space="0" w:color="auto"/>
        <w:left w:val="none" w:sz="0" w:space="0" w:color="auto"/>
        <w:bottom w:val="none" w:sz="0" w:space="0" w:color="auto"/>
        <w:right w:val="none" w:sz="0" w:space="0" w:color="auto"/>
      </w:divBdr>
    </w:div>
    <w:div w:id="1205412596">
      <w:bodyDiv w:val="1"/>
      <w:marLeft w:val="0"/>
      <w:marRight w:val="0"/>
      <w:marTop w:val="0"/>
      <w:marBottom w:val="0"/>
      <w:divBdr>
        <w:top w:val="none" w:sz="0" w:space="0" w:color="auto"/>
        <w:left w:val="none" w:sz="0" w:space="0" w:color="auto"/>
        <w:bottom w:val="none" w:sz="0" w:space="0" w:color="auto"/>
        <w:right w:val="none" w:sz="0" w:space="0" w:color="auto"/>
      </w:divBdr>
    </w:div>
    <w:div w:id="1280338147">
      <w:bodyDiv w:val="1"/>
      <w:marLeft w:val="0"/>
      <w:marRight w:val="0"/>
      <w:marTop w:val="0"/>
      <w:marBottom w:val="0"/>
      <w:divBdr>
        <w:top w:val="none" w:sz="0" w:space="0" w:color="auto"/>
        <w:left w:val="none" w:sz="0" w:space="0" w:color="auto"/>
        <w:bottom w:val="none" w:sz="0" w:space="0" w:color="auto"/>
        <w:right w:val="none" w:sz="0" w:space="0" w:color="auto"/>
      </w:divBdr>
    </w:div>
    <w:div w:id="1297568258">
      <w:bodyDiv w:val="1"/>
      <w:marLeft w:val="0"/>
      <w:marRight w:val="0"/>
      <w:marTop w:val="0"/>
      <w:marBottom w:val="0"/>
      <w:divBdr>
        <w:top w:val="none" w:sz="0" w:space="0" w:color="auto"/>
        <w:left w:val="none" w:sz="0" w:space="0" w:color="auto"/>
        <w:bottom w:val="none" w:sz="0" w:space="0" w:color="auto"/>
        <w:right w:val="none" w:sz="0" w:space="0" w:color="auto"/>
      </w:divBdr>
    </w:div>
    <w:div w:id="1298144869">
      <w:bodyDiv w:val="1"/>
      <w:marLeft w:val="0"/>
      <w:marRight w:val="0"/>
      <w:marTop w:val="0"/>
      <w:marBottom w:val="0"/>
      <w:divBdr>
        <w:top w:val="none" w:sz="0" w:space="0" w:color="auto"/>
        <w:left w:val="none" w:sz="0" w:space="0" w:color="auto"/>
        <w:bottom w:val="none" w:sz="0" w:space="0" w:color="auto"/>
        <w:right w:val="none" w:sz="0" w:space="0" w:color="auto"/>
      </w:divBdr>
    </w:div>
    <w:div w:id="1322461371">
      <w:bodyDiv w:val="1"/>
      <w:marLeft w:val="0"/>
      <w:marRight w:val="0"/>
      <w:marTop w:val="0"/>
      <w:marBottom w:val="0"/>
      <w:divBdr>
        <w:top w:val="none" w:sz="0" w:space="0" w:color="auto"/>
        <w:left w:val="none" w:sz="0" w:space="0" w:color="auto"/>
        <w:bottom w:val="none" w:sz="0" w:space="0" w:color="auto"/>
        <w:right w:val="none" w:sz="0" w:space="0" w:color="auto"/>
      </w:divBdr>
    </w:div>
    <w:div w:id="1341159303">
      <w:bodyDiv w:val="1"/>
      <w:marLeft w:val="0"/>
      <w:marRight w:val="0"/>
      <w:marTop w:val="0"/>
      <w:marBottom w:val="0"/>
      <w:divBdr>
        <w:top w:val="none" w:sz="0" w:space="0" w:color="auto"/>
        <w:left w:val="none" w:sz="0" w:space="0" w:color="auto"/>
        <w:bottom w:val="none" w:sz="0" w:space="0" w:color="auto"/>
        <w:right w:val="none" w:sz="0" w:space="0" w:color="auto"/>
      </w:divBdr>
      <w:divsChild>
        <w:div w:id="619728056">
          <w:blockQuote w:val="1"/>
          <w:marLeft w:val="0"/>
          <w:marRight w:val="2008"/>
          <w:marTop w:val="0"/>
          <w:marBottom w:val="375"/>
          <w:divBdr>
            <w:top w:val="none" w:sz="0" w:space="0" w:color="auto"/>
            <w:left w:val="none" w:sz="0" w:space="0" w:color="auto"/>
            <w:bottom w:val="none" w:sz="0" w:space="0" w:color="auto"/>
            <w:right w:val="none" w:sz="0" w:space="0" w:color="auto"/>
          </w:divBdr>
        </w:div>
      </w:divsChild>
    </w:div>
    <w:div w:id="134258955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6294713">
      <w:bodyDiv w:val="1"/>
      <w:marLeft w:val="0"/>
      <w:marRight w:val="0"/>
      <w:marTop w:val="0"/>
      <w:marBottom w:val="0"/>
      <w:divBdr>
        <w:top w:val="none" w:sz="0" w:space="0" w:color="auto"/>
        <w:left w:val="none" w:sz="0" w:space="0" w:color="auto"/>
        <w:bottom w:val="none" w:sz="0" w:space="0" w:color="auto"/>
        <w:right w:val="none" w:sz="0" w:space="0" w:color="auto"/>
      </w:divBdr>
    </w:div>
    <w:div w:id="1378162773">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8355092">
      <w:bodyDiv w:val="1"/>
      <w:marLeft w:val="0"/>
      <w:marRight w:val="0"/>
      <w:marTop w:val="0"/>
      <w:marBottom w:val="0"/>
      <w:divBdr>
        <w:top w:val="none" w:sz="0" w:space="0" w:color="auto"/>
        <w:left w:val="none" w:sz="0" w:space="0" w:color="auto"/>
        <w:bottom w:val="none" w:sz="0" w:space="0" w:color="auto"/>
        <w:right w:val="none" w:sz="0" w:space="0" w:color="auto"/>
      </w:divBdr>
    </w:div>
    <w:div w:id="1401516047">
      <w:bodyDiv w:val="1"/>
      <w:marLeft w:val="0"/>
      <w:marRight w:val="0"/>
      <w:marTop w:val="0"/>
      <w:marBottom w:val="0"/>
      <w:divBdr>
        <w:top w:val="none" w:sz="0" w:space="0" w:color="auto"/>
        <w:left w:val="none" w:sz="0" w:space="0" w:color="auto"/>
        <w:bottom w:val="none" w:sz="0" w:space="0" w:color="auto"/>
        <w:right w:val="none" w:sz="0" w:space="0" w:color="auto"/>
      </w:divBdr>
    </w:div>
    <w:div w:id="1408455292">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0902650">
      <w:bodyDiv w:val="1"/>
      <w:marLeft w:val="0"/>
      <w:marRight w:val="0"/>
      <w:marTop w:val="0"/>
      <w:marBottom w:val="0"/>
      <w:divBdr>
        <w:top w:val="none" w:sz="0" w:space="0" w:color="auto"/>
        <w:left w:val="none" w:sz="0" w:space="0" w:color="auto"/>
        <w:bottom w:val="none" w:sz="0" w:space="0" w:color="auto"/>
        <w:right w:val="none" w:sz="0" w:space="0" w:color="auto"/>
      </w:divBdr>
    </w:div>
    <w:div w:id="1494681464">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2113590">
      <w:bodyDiv w:val="1"/>
      <w:marLeft w:val="0"/>
      <w:marRight w:val="0"/>
      <w:marTop w:val="0"/>
      <w:marBottom w:val="0"/>
      <w:divBdr>
        <w:top w:val="none" w:sz="0" w:space="0" w:color="auto"/>
        <w:left w:val="none" w:sz="0" w:space="0" w:color="auto"/>
        <w:bottom w:val="none" w:sz="0" w:space="0" w:color="auto"/>
        <w:right w:val="none" w:sz="0" w:space="0" w:color="auto"/>
      </w:divBdr>
    </w:div>
    <w:div w:id="1532692963">
      <w:bodyDiv w:val="1"/>
      <w:marLeft w:val="0"/>
      <w:marRight w:val="0"/>
      <w:marTop w:val="0"/>
      <w:marBottom w:val="0"/>
      <w:divBdr>
        <w:top w:val="none" w:sz="0" w:space="0" w:color="auto"/>
        <w:left w:val="none" w:sz="0" w:space="0" w:color="auto"/>
        <w:bottom w:val="none" w:sz="0" w:space="0" w:color="auto"/>
        <w:right w:val="none" w:sz="0" w:space="0" w:color="auto"/>
      </w:divBdr>
    </w:div>
    <w:div w:id="1537505793">
      <w:bodyDiv w:val="1"/>
      <w:marLeft w:val="0"/>
      <w:marRight w:val="0"/>
      <w:marTop w:val="0"/>
      <w:marBottom w:val="0"/>
      <w:divBdr>
        <w:top w:val="none" w:sz="0" w:space="0" w:color="auto"/>
        <w:left w:val="none" w:sz="0" w:space="0" w:color="auto"/>
        <w:bottom w:val="none" w:sz="0" w:space="0" w:color="auto"/>
        <w:right w:val="none" w:sz="0" w:space="0" w:color="auto"/>
      </w:divBdr>
    </w:div>
    <w:div w:id="1571381428">
      <w:bodyDiv w:val="1"/>
      <w:marLeft w:val="0"/>
      <w:marRight w:val="0"/>
      <w:marTop w:val="0"/>
      <w:marBottom w:val="0"/>
      <w:divBdr>
        <w:top w:val="none" w:sz="0" w:space="0" w:color="auto"/>
        <w:left w:val="none" w:sz="0" w:space="0" w:color="auto"/>
        <w:bottom w:val="none" w:sz="0" w:space="0" w:color="auto"/>
        <w:right w:val="none" w:sz="0" w:space="0" w:color="auto"/>
      </w:divBdr>
    </w:div>
    <w:div w:id="1591232432">
      <w:bodyDiv w:val="1"/>
      <w:marLeft w:val="0"/>
      <w:marRight w:val="0"/>
      <w:marTop w:val="0"/>
      <w:marBottom w:val="0"/>
      <w:divBdr>
        <w:top w:val="none" w:sz="0" w:space="0" w:color="auto"/>
        <w:left w:val="none" w:sz="0" w:space="0" w:color="auto"/>
        <w:bottom w:val="none" w:sz="0" w:space="0" w:color="auto"/>
        <w:right w:val="none" w:sz="0" w:space="0" w:color="auto"/>
      </w:divBdr>
    </w:div>
    <w:div w:id="1615790692">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92683941">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33065842">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045576">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1354859">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360343">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2980004">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14407377">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3072385">
      <w:bodyDiv w:val="1"/>
      <w:marLeft w:val="0"/>
      <w:marRight w:val="0"/>
      <w:marTop w:val="0"/>
      <w:marBottom w:val="0"/>
      <w:divBdr>
        <w:top w:val="none" w:sz="0" w:space="0" w:color="auto"/>
        <w:left w:val="none" w:sz="0" w:space="0" w:color="auto"/>
        <w:bottom w:val="none" w:sz="0" w:space="0" w:color="auto"/>
        <w:right w:val="none" w:sz="0" w:space="0" w:color="auto"/>
      </w:divBdr>
    </w:div>
    <w:div w:id="206197541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26801917">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yperlink" Target="https://supreme.justia.com/cases/federal/us/348/11/cas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5123</Words>
  <Characters>29207</Characters>
  <Application>Microsoft Macintosh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34262</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2015-10-10T16:38:00Z</cp:lastPrinted>
  <dcterms:created xsi:type="dcterms:W3CDTF">2015-10-10T16:38:00Z</dcterms:created>
  <dcterms:modified xsi:type="dcterms:W3CDTF">2015-10-12T09:49:00Z</dcterms:modified>
</cp:coreProperties>
</file>